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agosto de 2003 el Abogado don Luis Miguel Pérez Espadas formuló recurso de amparo en interés de don Abderraman Meiga contra el Auto del Juzgado de Instrucción núm. 3 de Puerto del Rosario de 23 de julio anterior, por el que se denegó la incoación de un procedimiento de habeas corpus. Solicitó que se le tuviera por parte en representación del Sr. Meiga, entendiéndose con él las sucesivas diligencias hasta que, dado que el citado Sr. Meiga tenía derecho a asistencia jurídica gratuita en virtud del artículo 22.1 de la Ley Orgánica 4/2000,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28 de febrero de 2005 la designación, con carácter provisional, de la colegiada doña María Francisca Uriarte Tejada.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28 siguiente, el Ilustre Colegio de Abogados de Madrid comunicó que había procedido al archivo de la solicitud de asistencia jurídica gratuita de don Abderraman Meiga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Meiga suponía, de acuerdo con el art. 18 LAJG, que quedara sin efecto la designación provisional efectuada en su día de la Procuradora doña María Francisca Uriarte Tejada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23 de julio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14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5182-2003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Abderraman Meiga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Meiga,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Meiga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Meiga.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Abderraman Meiga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