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2003 el Abogado don Luis Miguel Pérez Espadas formuló recurso de amparo en interés de don Stanley Enoak contra el Auto del Juzgado de Instrucción núm. 3 de Puerto del Rosario de 22 de agosto anterior, por el que se denegó la incoación de un procedimiento de habeas corpus. Solicitó que se le tuviera por parte en representación del Sr. Enoak, entendiéndose con él las sucesivas diligencias hasta que, dado que el citado Sr. Enoak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Paloma Prieto González.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Stanley Enoak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Enoak suponía, de acuerdo con el art. 18 LAJG, que quedara sin efecto la designación provisional efectuada en su día de la Procuradora doña Paloma Prieto González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5576-2003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Stanley Enoak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Enoak,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Enoak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Enoak.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Stanley Enoak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sdicional segunda del Acuerdo de 18 de junio de 1996, del Pleno del Tribunal Constitucional sobre ssistencia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