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septiembre de 2003 el Abogado don Luis Miguel Pérez Espadas formuló recurso de amparo en interés de don Kaliluo Diarrasouba contra el Auto del Juzgado de Instrucción núm. 3 de Puerto del Rosario de 22 de agosto anterior, por el que se denegó la incoación de un procedimiento de habeas corpus. Solicitó que se le tuviera por parte en representación del Sr. Diarrasouba, entendiéndose con él las sucesivas diligencias hasta que, dado que el citado Sr. Diarrasouba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3 de marzo de 2005 la designación, con carácter provisional, de la colegiada doña Monserrat Gómez Hernández.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21 de abril de 2005, que ingresó en este Tribunal el día 29 siguiente, el Ilustre Colegio de Abogados de Madrid comunicó que había procedido al archivo de la solicitud de asistencia jurídica gratuita de don Kaliluo Diarrasouba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Diarrasouba suponía, de acuerdo con el art. 18 LAJG, que quedara sin efecto la designación provisional efectuada en su día de la Procuradora doña Monserrat Gómez Hernández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14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5637-2003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Kaliluo Diarrasouba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Diarrasouba,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Diarrasouba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Diarrasouba.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Kaliluo Diarrasouba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