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4 de octubre de 2005 la Procuradora de los Tribunales doña Ana Llorens Pardo, en representación de don Amadeo Azorín Guillermo, presentó en el Registro General de este Tribunal demanda de amparo contra la Sentencia de la Sección Segunda de la Audiencia Provincial Barcelona de 22 de junio de 2005 que, estimando el recurso de apelación interpuesto por el Abogado del Estado contra la Sentencia del Juzgado de lo Penal núm. 2 de Terrassa de 7 de marzo de 2005, dictada en procedimiento abreviado núm. 245-2004, y revocando la misma, condenó al recurrente como autor de un delito de falsedad en documento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Juzgado de lo Penal núm. 2 de Terrassa dictó Sentencia con fecha de 7 de marzo de 2005, en la que absolvía al recurrente del delito de falsedad en documento oficial del que venía siendo acusado. </w:t>
      </w:r>
    </w:p>
    <w:p w:rsidRPr="00C21FFE" w:rsidR="00AD51A7" w:rsidRDefault="008777C4">
      <w:pPr>
        <w:rPr/>
      </w:pPr>
      <w:r w:rsidRPr="&lt;w:rPr xmlns:w=&quot;http://schemas.openxmlformats.org/wordprocessingml/2006/main&quot;&gt;&lt;w:lang w:val=&quot;es-ES_tradnl&quot; /&gt;&lt;/w:rPr&gt;">
        <w:rPr/>
        <w:t xml:space="preserve">b) Interpuesto recurso de apelación por el Abogado del Estado, fue estimado por la Sentencia de 22 de junio de 2005 de la Sección Segunda de la Audiencia Provincial de Barcelona que, revocando la Sentencia de instancia, condenó a don Amadeo Azorín Guillermo, como autor de un delito de falsedad de documento oficial, sin la concurrencia de circunstancias modificativas de la responsabilidad criminal, a la pena de seis meses de prisión, multa de seis meses con cuota diaria de 5 euros y responsabilidad personal subsidiaria de un día de privación de libertad por cada dos cuotas no satisfechas, y al pago de las costas de la instancia con inclusión de las devengadas por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derecho a la presunción de inocencia (art. 24.2 CE), por no existir una mínima actividad probatoria de cargo para desvirtuarla, del derecho a la tutela judicial efectiva (art. 24.1 CE), por motivación insuficiente de la Sentencia impugnada, y del principio de legalidad (art. 25.1 CE), al considerarse que los hechos por los que el recurrente fue condenado no son constitutivos de ilícito penal alguno. </w:t>
      </w:r>
    </w:p>
    <w:p w:rsidRPr="00C21FFE" w:rsidR="00AD51A7" w:rsidRDefault="008777C4">
      <w:pPr>
        <w:rPr/>
      </w:pPr>
      <w:r w:rsidRPr="&lt;w:rPr xmlns:w=&quot;http://schemas.openxmlformats.org/wordprocessingml/2006/main&quot;&gt;&lt;w:lang w:val=&quot;es-ES_tradnl&quot; /&gt;&lt;/w:rPr&gt;">
        <w:rPr/>
        <w:t xml:space="preserve">Igualmente, mediante otrosí, y de conformidad con el art. 56 LOTC, se solicitó que se acordara la suspensión de la ejecución de la Sentencia recurrida, por estimar que aquella ocasionaría al demandante un perjuicio que haría perder al amparo su finalidad, en tanto, se afirma, la firmeza de la Sentencia llevaría aparejada la inclusión en su hoja histórico-penal de los consiguientes antecedentes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16 de octubre de 2007 la Sala Segunda del Tribunal Constitucional acordó conocer del presente recurso de amparo y admitir a trámite la demanda, así como formar la oportuna pieza para la tramitación del incidente sobre suspensión, concediendo, de conformidad con el art. 56 LOTC,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25 de octubre de 2007 se registró en este Tribunal la entrada del escrito de alegaciones del recurrente, en el que ratifica la solicitud de suspensión de ejecución de la pena impuesta, por cuanto la misma supondría un perjuicio irreparable tanto en el terreno personal como en el laboral, máxime, añade, tratándose de una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día 7 de noviembre de 2007, en el que, con cita del ATC 265/2003, FFJJ 1 y 2, considera procedente la suspensión instada. Señala, en primer lugar, que los términos en que el demandante ha solicitado la suspensión no pueden asumirse, pues la no suspensión de la ejecución no acarrearía perjuicios irreparables en el caso de un eventual otorgamiento del amparo, ya que, si tal ocurriese, se cancelaría el antecedente en su hoja histórico-penal pudiendo, por lo demás, reclamar aquél por los eventuales perjuicios que dicha anotación le hubiese ocasionado. En segundo lugar, indica el Ministerio Fiscal que, pese a que el recurrente no se haya referido a ello en su demanda de amparo, habría de suspenderse la ejecución de la pena privativa de libertad impuesta, porque de no accederse a la misma, dada su corta duración, los efectos de un eventual otorgamiento del amparo se tornarían ilusorios ante su previsible extinción. En cambio, la ejecución de la pena de multa, al tener un mero contenido económico, no irrogaría perjuicio irreparable alguno y, por otro lado, tampoco el demandante alega, ni fluye del contenido de las resoluciones judiciales que, dada la cuantía de aquella pena, su desembolso le ocasione grave quebranto, al igual que sucede con el pago de las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la Ley Orgánica 6/2007, de 24 de mayo, establece que cuando la ejecución de la resolución impugnada ocasione al demandante un perjuicio que pudiera hacer perder al amparo su finalidad, podrá disponerse la suspensión, total o parcial, de sus efectos, siempre que tal suspensión no produzca perturbación grave a un interés constitucionalmente protegido, ni a las libertades o derechos fundamentales de otra persona.</w:t>
      </w:r>
    </w:p>
    <w:p w:rsidRPr="00C21FFE" w:rsidR="00AD51A7" w:rsidRDefault="008777C4">
      <w:pPr>
        <w:rPr/>
      </w:pPr>
      <w:r w:rsidRPr="&lt;w:rPr xmlns:w=&quot;http://schemas.openxmlformats.org/wordprocessingml/2006/main&quot;&gt;&lt;w:lang w:val=&quot;es-ES_tradnl&quot; /&gt;&lt;/w:rPr&gt;">
        <w:rPr/>
        <w:t xml:space="preserve">De acuerdo con la doctrina elaborada por este Tribunal respecto de la redacción inicial del art. 56 LOTC, reiterada en cuanto a la redacción actualmente vigente (AATC 185/1998, de 14 de septiembre, FJ 1; 99/1999, de 26 de abril, FJ 2; 289/2000, de 11 de diciembre, FJ 2; 230/2001, de 24 de julio, FJ 1; 171/2002, de 30 de septiembre, FJ 1; 413/2003, de 15 de diciembre, FJ 1; 369/2005, de 24 de octubre, FJ 2, y 466/2007, de 17 de diciembre), la suspensión se configura como una medida provisional de carácter excepcional y de aplicación restrictiva, habida cuenta del interés general en la efectividad de las decisiones de los poderes públicos y, en particular, en la ejecución de las resoluciones dictadas por Jueces y Tribunales en el ejercicio de la potestad jurisdiccional que les confiere el art. 117.3 CE, puesto que la protección del interés general que conlleva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impugnada cause un perjuicio al recurrente que pudiera hacer perder al amparo su finalidad y siempre que, como ya se ha anotado más arriba, la suspensión no produzca perturbaciones graves a un interés constitucionalmente protegido, ni a los derechos fundamentales o libertades de otra persona. La suspensión, pues, es una medida cautelar que se apoya en el riesgo o en la certeza de que la ejecución ocasionará un perjuicio que frustraría la finalidad del amparo, dando a una eventual sentencia favorable efectos meramente declarativos; no obstante exige una delicada ponderación de los intereses generales y los derechos fundamentales de terceros —cuya perturbación grave o lesión actúa como límite a la adopción de la medida cautelar—, así como del interés particular del demandante de amparo que alega a su vez la lesión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tal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16/2008, de 21 de enero, FJ 1).</w:t>
      </w:r>
    </w:p>
    <w:p w:rsidRPr="00C21FFE" w:rsidR="00AD51A7" w:rsidRDefault="008777C4">
      <w:pPr>
        <w:rPr/>
      </w:pPr>
      <w:r w:rsidRPr="&lt;w:rPr xmlns:w=&quot;http://schemas.openxmlformats.org/wordprocessingml/2006/main&quot;&gt;&lt;w:lang w:val=&quot;es-ES_tradnl&quot; /&gt;&lt;/w:rPr&gt;">
        <w:rPr/>
        <w:t xml:space="preserve">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369/2005, de 24 de octubre, FJ 2, y 469/2007, de 17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supuesto que aquí se examina de la doctrina referida obliga a considerar, si se compara la duración de la pena privativa de libertad impuesta al demandante (seis meses)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dictada por la Sección Segunda de la Audiencia Provincial Barcelona de 22 de junio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cambio no procede la suspensión del resto de pronunciamientos condenatorios que contiene la Sentencia antedicha, esto es, la pena de multa y la condena al pago de las costas de la instancia, puesto que, al dato de que el recurrente no realiza una concreta solicitud en tal sentido en su demanda, como tampoco en el posterior escrito de alegaciones —en el que se refiere únicamente a la pena privativa de libertad—, ni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y 362/2007, de 10 de septiembre, FJ 1).</w:t>
      </w:r>
    </w:p>
    <w:p w:rsidRPr="00C21FFE" w:rsidR="00AD51A7" w:rsidRDefault="008777C4">
      <w:pPr>
        <w:rPr/>
      </w:pPr>
      <w:r w:rsidRPr="&lt;w:rPr xmlns:w=&quot;http://schemas.openxmlformats.org/wordprocessingml/2006/main&quot;&gt;&lt;w:lang w:val=&quot;es-ES_tradnl&quot; /&gt;&lt;/w:rPr&gt;">
        <w:rPr/>
        <w:t xml:space="preserve">Finalmente, por lo que se refiere a la responsabilidad personal subsidiaria para el caso de impago de la multa impuesta, no cabe tampoco acordar su suspensión, pues se trata de una eventualidad futura que, de acaecer, podría dar lugar a nueva solicitud de suspensión y a la posibilidad de modificación de la decisión que ahora se adopta, en virtud del art. 57 LOTC (por todos, ATC 33/2008, de 31 de enero,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dictada por la Sección Segunda de la Audiencia Provincial Barcelona de 22 de junio de 2005, exclusivamente en lo que se refiere a la pena de seis meses de prisión impuesta al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