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abril de 2008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presentado en este Tribunal el 12 de mayo de de 2004, “Pelayo Mutua de seguros a prima fija”, representada por la Procuradora de los Tribunales doña María Asunción Miquel Aguado y asistida por el Abogado don Alberto Martín Antón, interpone recurso de amparo contra las Sentencias de 18 de diciembre de 2000 y de 29 de octubre de 2001 del Juzgado de Instrucción núm. 2 de Colmenar Viejo y contra la Sentencia de la Sección Decimoséptima de la Audiencia Provincial de Madrid de 15 de marzo de 2004.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comunicación de fecha 21 de marzo de 2007, la Presidenta Excma. Sra. doña María Emilia Casas Baamonde expone: “Que conforme a lo previsto en el art. 217 LOPJ, manifiesto mi voluntad de abstenerme en el conocimiento del recurso de amparo núm. 3013-2004, por entender que concurre la causa establecida legalmente en el art. 219.9 LOPJ, por mi relación de amistad con representantes de la entidad ‘Pelayo Mutua de seguros y reaseguros a prima fija’ ”.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 la comunicación efectuada por la Excma. Sra. doña María Emilia Casas Baamonde y de conformidad de lo previsto en el art. 80 de la Ley Orgánica del Tribunal Constitucional y el art. 219.9 de la Ley Orgánica del Poder Judicial, procede estimar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justificada la causa de abstención formulada en atención a la relación de amistad con representantes de la demandante de amparo “Pelayo Mutua de seguros a prima fija”.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 este respecto debe señalarse que “la imparcialidad subjetiva, entendiendo este concepto en el sentido que lo emplea el Tribunal Europeo de Derechos Humanos, [ha de concebirse] como la convicción personal del juez, lo que piensa en su fuero interno” (ATC 178/2005, de 9 de mayo, FJ 1). Por ello, al igual que hemos apreciado en un caso similar anterior, ante la duda de que la relación de amistad con representantes de la entidad Pelayo Mutua de seguros y reaseguros a prima fija, parte demandante en este proceso, manifestada por la Presidenta de este Tribunal “le impida ejercer su función imparcialmente —duda implícitamente formulada por [la propia Presidente] al manifestar su voluntad de abstenerse por este motivo—, la abstención debe entenderse justificada” (ATC antes citado, FJ 2).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la Excma. Sra. doña María Emilia Casas Baamonde en el recurso de amparo núm. 3013-2004, apartándola definitivamente del referido recurso.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abril de dos mil ocho.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