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marzo de 2008 tiene entrada en el Registro General de este Tribunal un escrito del Juzgado de lo Penal núm. 4 de Murcia al que se acompaña, junto al testimonio del correspondiente procedimiento, el Auto del referido Juzgado de 11 de enero de 2008 en el que se acuerda plantear cuestión de inconstitucionalidad respecto al art. 153.1 del Código penal (CP) por su posible contradicción con los arts. 10, 14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del Auto del mismo Juzgado de 29 de julio de 2005, que cuestionaba también el art. 153.1 CP y que dio lugar a la STC 59/2008, de 14 de mayo. Un amplio resumen del mismo se encuentra en el antecedente 3 de esta Sentencia, al que ahora procede que nos remitamos. Muy en síntesis, considera el órgano cuestionante, en primer lugar, que dicho precepto podría ser constitutivo de una discriminación por razón de sexo prohibida por el art. 14 CE. Alega también que podría oponerse al principio de culpabilidad (art. 24.2 CE) por presumir una intención discriminatoria en el autor, o un abuso de superioridad, o una situación de vulnerabilidad de la víctima; o por atribuir al varón una responsabilidad colectiva, como representante o heredero de un grupo opresor. La tercera objeción al precepto proviene del valor de la dignidad de la persona (art. 10.1 CE), que resultaría afectado por la atribución a las mujeres, o por la presunción respecto a las mismas, de una especial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mayo de 2008, la Sección Segunda de este Tribunal acuerda oír al Fiscal General del Estado en relación con la admisibilidad de la presente cuestión de inconstitucionalidad, por si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5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 cuestión que dio lugar a la STC 59/2008, de 14 de mayo. La identidad de objeto de ambas cuestiones y el hecho de que la primera de ellas haya sido desestimada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2314-2008, planteada por el Juzgado de lo Penal núm. 4 de Murcia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