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16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mayo de 2008 tiene entrada en el Registro General de este Tribunal un escrito del Juzgado de lo Penal núm. 1 de Valladolid al que acompaña, junto el testimonio del correspondiente procedimiento, el Auto del referido Juzgado de 10 de enero de 2008 en el que se acuerda plantear cuestión de inconstitucionalidad respecto al art. 153.1 del Código penal (CP) por su posible contradicción con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quince Autos del mismo Juzgado que cuestionaban también el primer inciso del art. 153.1 CP. Las cuestiones a las que dieron lugar tales Autos fueron acumuladas y dieron lugar a la STC 76/2008, de 3 de julio. Un resumen del mismo se encuentra en el antecedente 3 de esta Sentencia, al que ahora procede que nos remitamos. Considera el órgano cuestionante, en síntesis, que el inciso cuestionado “colisiona frontalmente contra el principio de igualdad consagrado en el art. 14 CE”, puesto que la agravación se fundamenta exclusivamente en el sexo de los sujetos del delito. La norma penal, con su tratamiento punitivo diferente, “no supone una acción positiva sino una discriminación negativa hacia el hombre” carente de justificación por parte del legislador, que “exige requisitos para su especial protección a otros grupos de familiares que sí precisan de atención preferente (ancianos o niños) que en ningún caso se precisan para la especial punición cuando la víctima es una mujer (convivencia y acreditación de su especial vunerabilidad)”. Considera así que “puede estimarse que el legislador ha establecido una presunción, iuris et de iure, de que la mujer es en cualquier caso ‘persona especialmente vulnerable’, … en clara oposición a la dignidad de la mujer, con vulneración de los dispuesto en el art. 10.1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mayo de 2008, la Sección Segunda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w:t>
      </w:r>
    </w:p>
    <w:p w:rsidRPr="00C21FFE" w:rsidR="00AD51A7" w:rsidRDefault="008777C4">
      <w:pPr>
        <w:rPr/>
      </w:pPr>
      <w:r w:rsidRPr="&lt;w:rPr xmlns:w=&quot;http://schemas.openxmlformats.org/wordprocessingml/2006/main&quot;&gt;&lt;w:lang w:val=&quot;es-ES_tradnl&quot; /&gt;&lt;/w:rPr&gt;">
        <w:rPr/>
        <w:t xml:space="preserve">suscitada”. Tal falta notoria de fundamento concurrirá “cuando resulte evidente que la norma legal cuestionada … es manifiestamente constitucional” (STC 27/1991, de 14 de febrero,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76/2008, de 3 de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3507-2008, planteada por el Juzgado de lo Penal núm. 1 de Valladolid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