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2004, la Procuradora de los Tribunales doña Alicia Martín Yáñez, en nombre y representación de don Antonio Pintor López, interpuso recurso de amparo contra la Sentencia de 9 de junio de 2001 de la Sección Segunda de la Audiencia Provincial de Almería, rollo núm. 207-2003 del procedimiento abreviado núm. 425-2003 procedente del Juzgado de lo Penal núm. 1 de Almería que le condenó como autor de tres delitos de calumnias a una única pena de nueve meses de multa a razón de 6 € al día, pago de costas e indemnización de 4.000 €, más los intereses legales, a cada una de los tres afectados. Por otrosí, en la misma demanda de amparo se solicitó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25 de noviembre de 2008,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trámite de alegaciones mediante escrito registrado en este Tribunal con fecha de 20 de noviembre de 2008 en el que interesó la denegación de la solicitud de suspensión formalizada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su parte, presentó escrito en relación con el señalado trámite el día 4 de diciembre de 2008. En el mismo se indica que el Juzgado de lo Penal no esperó a la resolución del Tribunal Constitucional y procedió en su día a ejecutar la Sentencia, por lo que solicita que se declare nula la ejecución de la Sentencia y se retrotraigan las actuaciones, en cuanto a la ejecución de la Sentencia, al momento en que el Sr. Pintor López efectuó el ingreso en la cuenta de depósitos del Juzgado la suma de 13.750 € y se ordene la devolución de dicho importe así como de los intereses legales.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este doctrina constitucional al presente asunto determina la denegación de la suspensión de la ejecución solicitada, pues, aparte de que el recurrente nada ha razonado y, menos aún, acreditado en su lacónica petición de suspensión, se trata de pronunciamientos de condena de efectos meramente patrimoniales que, por su contenido económico, admiten la restitución íntegra de lo ejecutado y, por tanto, no causan perjuicios de imposible reparación ni, por lo mismo, hacen perder al recurso de amparo su finalidad (AATC 40/2008, de 11 de febrero, 66/2008, de 25 de febrero, 174/2008, de 23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