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22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diciembre de 2008, la Procuradora de los Tribunales doña María de los Ángeles Fernández Aguado, en nombre y representación de don Fadi Arawi, y bajo la dirección del Letrado José Luis Sánchez Bernal, presentó demanda de amparo contra la Sentencia de la Sección Cuarta de la Sala de lo Contencioso-Administrativo del Tribunal Superior de Justicia de la Comunidad de Madrid de 3 de octubre de 2008, por la que se desestima el recurso de apelación núm. 739-2008 interpuesto contra la Sentencia del Juzgado de lo Contencioso-Administrativo núm. 1 de Madrid de 10 de octubre de 2005, dictada en el procedimiento abreviado núm. 479-2005, sobre sanción en materia de extranjería.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11 de marzo de 2009, acordó no admitir el recurso por considerar que el demandante no había satisfecho la carga consistente en justificar la especial trascendencia constitucional, de conformidad con lo dispuesto en los arts. 50.1 a) y 49.1 LOTC, en la redacción dada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 de abril de 2009, interpuso recurso de súplica contra dicha providencia, argumentando que examinada la demanda de amparo se observa que en el folio siete, dentro del apartado relativo a la “procedencia de este recurso y cumplimiento de sus presupuesto procesales”, se incluye un párrafo relativo a la especial trascendencia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Segunda de este Tribunal, por diligencia de ordenación de 2 de abril de 2009, acordó dar traslado del recurso de súplica para alegaciones al demandante, quien por escrito registrado el 8 de abril de 2009 se adhirió en todos sus términos a los argumentos esgrimidos en dicho recurso, destacando que, además, la demanda tiene especial trascendencia constitucional, por lo que debe ser admitida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expuestas en el recurso de súplica, pone efectivamente de relieve que en su página 7 se dedica un apartado específico a tratar de justificar la especial trascendencia</w:t>
      </w:r>
    </w:p>
    <w:p w:rsidRPr="00C21FFE" w:rsidR="00AD51A7" w:rsidRDefault="008777C4">
      <w:pPr>
        <w:rPr/>
      </w:pPr>
      <w:r w:rsidRPr="&lt;w:rPr xmlns:w=&quot;http://schemas.openxmlformats.org/wordprocessingml/2006/main&quot;&gt;&lt;w:lang w:val=&quot;es-ES_tradnl&quot; /&gt;&lt;/w:rPr&gt;">
        <w:rPr/>
        <w:t xml:space="preserve">constitucional de la pretensión de amparo.</w:t>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Ello no implica la admisión a trámite del presente recurso de amparo, ya que el cumplimiento de la exigencia de justificar de manera expresa la especial trascendencia constitucional del recurso, lo es sin perjuicio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De ese modo, sobre la admisión o inadmisión a trámite del presente recurso de amparo habrá de decidirse por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11 de marzo de 2009,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