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23 de abril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tanto la representación procesal de la parte recurrente como el Ministerio Fiscal consideraron procedente el planteamiento de la cuestión de inconstitucionalidad, mientras que el Abogado del Estado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abril de 2010 se dictó Auto acordando el planteamiento de la presente cuestión de inconstitucionalidad. En el mismo, el órgano judicial proponente, tras precisar los antecedentes de hecho,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4983-2010,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