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16 de mayo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marzo de 2010, el Procurador de los Tribunales don Javier Cuevas Rivas, en nombre y representación de don Joaquín Urain Larrañaga, interpuso recurso de amparo contra el Auto de 21 de enero de 2010, dictado por la Sala Segunda del Tribunal Supremo en recurso 11106-2009, en el que se acuerda la no admisión a trámite del recurso de casación, y contra la posterior providencia de 19 de febrero de 2010 de inadmisión a trámite del incidente de nulidad planteado, así como contra el Auto de la Sección Segunda de la Sala de lo Penal de la Audiencia Nacional, de 24 de agosto de 2009, en la ejecutoria 103-1989, sumario 45-1986, procedente del Juzgado Central de Instrucción núm. 2, solicitando mediante otrosí “la suspensión de la ejecución de las resoluciones que recurro en la parte correspondiente a la aplicación de los siete años de condena que se ha retrasado el licenciamiento definitivo de mi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a varias penas cuya suma superaba los treinta años de prisión. Conforme al art. 70.2 del Código penal de 1973, por resolución de la Sala de lo Penal, Sección Segunda, de la Audiencia Nacional de 16 de junio de 1997 se le impuso el límite de cumplimiento de treinta años, estando su licenciamiento definitivo previsto para el 29 de agosto de 2009. </w:t>
      </w:r>
    </w:p>
    <w:p w:rsidRPr="00C21FFE" w:rsidR="00AD51A7" w:rsidRDefault="008777C4">
      <w:pPr>
        <w:rPr/>
      </w:pPr>
      <w:r w:rsidRPr="&lt;w:rPr xmlns:w=&quot;http://schemas.openxmlformats.org/wordprocessingml/2006/main&quot;&gt;&lt;w:lang w:val=&quot;es-ES_tradnl&quot; /&gt;&lt;/w:rPr&gt;">
        <w:rPr/>
        <w:t xml:space="preserve">b) El 13 de noviembre de 2008, el Director del Centro penitenciario de Dueñas-Moraleja remitió oficio a la Audiencia Nacional planteando si sería de aplicación al recurrente la doctrina de la Sentencia de la Sala Segunda del Tribunal Supremo de 28 de febrero de 2006 (“doctrina Parot”). </w:t>
      </w:r>
    </w:p>
    <w:p w:rsidRPr="00C21FFE" w:rsidR="00AD51A7" w:rsidRDefault="008777C4">
      <w:pPr>
        <w:rPr/>
      </w:pPr>
      <w:r w:rsidRPr="&lt;w:rPr xmlns:w=&quot;http://schemas.openxmlformats.org/wordprocessingml/2006/main&quot;&gt;&lt;w:lang w:val=&quot;es-ES_tradnl&quot; /&gt;&lt;/w:rPr&gt;">
        <w:rPr/>
        <w:t xml:space="preserve">c) Mediante Auto de fecha 24 de agosto de 2009, la Sala de lo Penal (Sección Segunda) de la Audiencia Nacional acuerda que la citada doctrina es aplicable y fija la fecha definitiva del licenciamiento del Sr. Urain Larrañaga para el 10 de enero de 2016. </w:t>
      </w:r>
    </w:p>
    <w:p w:rsidRPr="00C21FFE" w:rsidR="00AD51A7" w:rsidRDefault="008777C4">
      <w:pPr>
        <w:rPr/>
      </w:pPr>
      <w:r w:rsidRPr="&lt;w:rPr xmlns:w=&quot;http://schemas.openxmlformats.org/wordprocessingml/2006/main&quot;&gt;&lt;w:lang w:val=&quot;es-ES_tradnl&quot; /&gt;&lt;/w:rPr&gt;">
        <w:rPr/>
        <w:t xml:space="preserve">d) El citado Auto es recurrido en casación. Por Auto de 21 de enero de 2010, la Sala de lo Penal del Tribunal Supremo, tras entrar en el fondo de las alegaciones del actor, acordó no haber lugar a la admisión del recurso de casación. Se interpuso incidente de nulidad de actuaciones, que fue inadmitido por providencia de la Sala Segunda del Tribunal Supremo de 19 de febrero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se han vulnerado los siguientes derechos: derecho a la igualdad (art. 14 CE), pues a partir de un determinado momento se realiza una aplicación muy distinta de la refundición de condenas de la que se venía haciendo; derecho a la libertad (art. 17 CE), al haberse pospuesto injustificadamente la salida definitiva de prisión por siete años; principio de legalidad y seguridad jurídica (art. 25.1 y 2 CE), alegando una interpretación analógica de los arts. 70.2 y 100 del Código penal de 1973 y denunciando asimismo la aplicación retroactiva de una norma penal desfavorable; derecho a la tutela judicial, en su vertiente de intangibilidad de las resoluciones judiciales firmes (art. 24.1 CE), y en relación con el derecho a la libertad (art. 17), pues la modificación de la liquidación de condena efectuada por el Centro penitenciario genera una situación de inseguridad jurídica y la lesión del derecho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31 de marzo de 2011 la Sala Segunda de este Tribunal acordó la admisión a trámite de la demanda y formar la correspondiente pieza separada de suspensión, concediendo, de conformidad con lo previsto en el art. 56 LOTC,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8 de abril de 2011 el recurrente presentó sus alegaciones reiterando en esencia las ya argumentadas en su escrito anterior para fundar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11 de abril de 2011 el Ministerio Fiscal presentó escrito de alegaciones oponiéndose a la suspensión solicitada por considerar, con cita del ATC 206/2010, de 30 de diciembre,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de libertad del recurrente por implicar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(LOTC)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95/2010, de 19 de julio, y 206/2010, de 30 de diciembre).</w:t>
      </w:r>
    </w:p>
    <w:p w:rsidRPr="00C21FFE" w:rsidR="00AD51A7" w:rsidRDefault="008777C4">
      <w:pPr>
        <w:rPr/>
      </w:pPr>
      <w:r w:rsidRPr="&lt;w:rPr xmlns:w=&quot;http://schemas.openxmlformats.org/wordprocessingml/2006/main&quot;&gt;&lt;w:lang w:val=&quot;es-ES_tradnl&quot; /&gt;&lt;/w:rPr&gt;">
        <w:rPr/>
        <w:t xml:space="preserve">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