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17 de diciembre de 2007, el Procurador de los Tribunales don Luis José García Barrenechea, en representación de don José Luis Peña Domingo y don Juan José Moreno Alonso, presentó recurso de amparo contra la Sentencia de 10 de octubre de 2007 de la Sección Octava de la Sala de lo Contencioso-Administrativo del Tribunal Superior de Justicia de Madrid, recaída en el recurso de apelación núm. 516-2007 interpuesto contra Sentencia del Juzgado de lo Contencioso-Administrativo núm. 11 de Madrid de 13 de abril de 2007, dictada en el procedimiento de protección de derechos fundamentales núm. 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vigilancia de la contratación del Ayuntamiento de Majadahonda a la sesión de la referida comisión informativa a celebrar el día 18 de octubre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11 de Madrid de 13 de abril de 2007 (procedimiento de protección de derechos fundamentales núm. 4-2006). Contra esta Sentencia interpusieron los demandantes recurso de apelación, que fue desestimado por Sentencia de 10 de octubre de 2007 de la Sección Octava de la Sala de lo Contencioso-Administrativo del Tribunal Superior de Justicia de Madrid (recurso de apelación núm. 516-2007).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Ley Orgánica del Tribunal Constitucional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