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29 de febrero de 2008, el Procurador de los Tribunales don Luis José García Barrenechea, en representación de don José Luis Peña Domingo y don Juan José Moreno Alonso, presentó recurso de amparo contra la Sentencia de 20 de diciembre de 2007 de la Sección Novena de la Sala de lo Contencioso-Administrativo del Tribunal Superior de Justicia de Madrid, recaída en el recurso de apelación núm. 620-2007 interpuesto contra Sentencia del Juzgado de lo Contencioso-Administrativo núm. 6 de Madrid de 14 de junio de 2007, dictada en el procedimiento de protección de derechos fundamentales núm. 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vigilancia de la contratación del Ayuntamiento de Majadahonda a la sesión de la referida comisión informativa a celebrar el día 14 de febrero de 2007,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6 de Madrid de 14 de junio de 2007 (procedimiento de protección de derechos fundamentales núm. 1-2007). Contra esta Sentencia interpusieron los demandantes recurso de apelación, que fue desestimado por Sentencia de 20 de diciembre de 2007 de la Sección Novena de la Sala de lo Contencioso-Administrativo del Tribunal Superior de Justicia de Madrid (recurso de apelación núm. 620-2007), rectificada por Auto de 5 de febrero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