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17 de marzo de 2010, don Ignacio Arakama Mendia, representado por el Procurador de los Tribunales don Javier Cuevas Rivas y asistido por el Letrado don Iker Urbina Fernández, interpuso recurso de amparo contra el Auto dictado por la Sala de lo Penal del Tribunal Supremo el 21 de enero de 2010, que desestima el recurso de casación formulado contra el Auto de la Sección Tercera de la Sala de lo Penal de la Audiencia Nacional de 10 de febrero de 2009, sobre aplicación de beneficios penitenciarios y redenciones en el cumplimiento de las penas impuestas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fue condenado a diversas penas privativas de libertad cuya suma supera los treinta años de duración, si bien, de conformidad con el art. 70 del Código penal de 1973, una vez operada la oportuna refundición de condenas en virtud de Auto de la Sección Tercera de la Sala de lo Penal de la Audiencia Nacional de 11 de noviembre de 2004, corregido por el posterior Auto de 10 de febrero de 2009, en el que se fija que “el cumplimiento de las penas será sucesivo, aplicándose los beneficios y redenciones que procedan respecto a cada una de las penas”. </w:t>
      </w:r>
    </w:p>
    <w:p w:rsidRPr="00C21FFE" w:rsidR="00AD51A7" w:rsidRDefault="008777C4">
      <w:pPr>
        <w:rPr/>
      </w:pPr>
      <w:r w:rsidRPr="&lt;w:rPr xmlns:w=&quot;http://schemas.openxmlformats.org/wordprocessingml/2006/main&quot;&gt;&lt;w:lang w:val=&quot;es-ES_tradnl&quot; /&gt;&lt;/w:rPr&gt;">
        <w:rPr/>
        <w:t xml:space="preserve">b) Contra el último de los mencionados Autos preparó e interpuso recurso de casación, que fue desestimado por la Sala de lo Penal del Tribunal Supremo mediante Auto de 21 de enero de 2010 que, del mismo modo que la resolución impugnada, se sustenta en el criterio iniciado por la mencionada Sala del Tribunal Supremo con la Sentencia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han vulnerado los derechos del recurrente a la igualdad (art. 14 CE), a la libertad y seguridad (art. 17.1 CE), a la tutela judicial efectiva (art. 24.1 CE) y a la defensa (art. 24.2 CE), así como los principios de legalidad (art. 25.1 CE) y seguridad jurídica, en el sentido de que las penas privativas de libertad han de estar orientadas hacia la reeducación y reinserción social (art. 25.2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abril de 2011 la Sala Segunda de este Tribunal acordó la admisión a trámite de la demanda de amparo, así como, a tenor de lo establecido en el art. 51 LOTC, requerir atentamente a la Sala de lo Penal del Tribunal Supremo y a la Sección Tercera de la Sala de lo Penal de la Audiencia Nacional para que remitieran testimonio de las actuaciones y se emplazase a quienes fueron parte en el procedimiento, a excepción del demandante de amparo, para que pudieran comparecer en el presente proceso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presentado el 17 de mayo de 2011, pide que se deniegue la suspensión solicitada, en atención al criterio seguido por este Tribunal en el ATC 206/2010, de 30 de diciembre, que resolvió una petición dimanante de un recurso sustancialmente igual al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ha quedado expuesto, el recurrente en amparo impugna el Auto de la Sección Tercera de la Sala de lo Penal de la Audiencia Nacional de 10 de febrero de 2009, referido al modo de aplicación de los beneficios penitenciarios y redenciones en el cumplimiento de las penas impuestas al recurrente, así como el posterior Auto de 21 de enero de 2010 de la Sala de lo Penal del Tribunal Supremo, que desestimó el recurso de casación interpuesto contra el primer Auto. De modo que las resoluciones judiciales recurridas en amparo no son aquellas que impusieron las penas privativas de libertad sino las que señalan la aplicación del criterio jurisprudencial acogido por la Sala de lo Penal del Tribunal Supremo a partir de su Sentencia 197/2006, de 28 de febrero, en materia de aplicación de los beneficios penitenciarios.</w:t>
      </w:r>
    </w:p>
    <w:p w:rsidRPr="00C21FFE" w:rsidR="00AD51A7" w:rsidRDefault="008777C4">
      <w:pPr>
        <w:rPr/>
      </w:pPr>
      <w:r w:rsidRPr="&lt;w:rPr xmlns:w=&quot;http://schemas.openxmlformats.org/wordprocessingml/2006/main&quot;&gt;&lt;w:lang w:val=&quot;es-ES_tradnl&quot; /&gt;&lt;/w:rPr&gt;">
        <w:rPr/>
        <w:t xml:space="preserve">Por tanto, lo que el demandante pretende es que este Tribunal acuerde cautelarmente su inmediata puesta en libertad en tanto se resuelva el recurso de amparo, pues lo contrario, añade el recurrente, le produciría un perjuicio irreparable, en el caso de otorgarse finalmente el amparo.</w:t>
      </w:r>
    </w:p>
    <w:p w:rsidRPr="00C21FFE" w:rsidR="00AD51A7" w:rsidRDefault="008777C4">
      <w:pPr>
        <w:rPr/>
      </w:pPr>
      <w:r w:rsidRPr="&lt;w:rPr xmlns:w=&quot;http://schemas.openxmlformats.org/wordprocessingml/2006/main&quot;&gt;&lt;w:lang w:val=&quot;es-ES_tradnl&quot; /&gt;&lt;/w:rPr&gt;">
        <w:rPr/>
        <w:t xml:space="preserve">Pues bien, este Tribunal ya ha resuelto en casos semejantes al presente (en los AATC 43/2008, de 11 de febrero; y 206/2010, de 30 de diciembre) que no resulta procedente la puesta en libertad del recurrente de modo cautelar, por implicar ello una perturbación grave de los intereses generales y, en concreto, del legítimo interés público en el cumplimiento de las penas, en atención a la gravedad de las que se están ejecutando. A ello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y 3/2011, de 14 de febrero,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don Ignacio Arakama Mendia en el recurso de amparo núm. 2281-2010.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