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diciembre de 2001 tuvo entrada en el Registro General de este Tribunal Constitucional un escrito del Juzgado Contencioso-Administrativo núm. 6 de Valencia, al que se acompaña, junto al testimonio del correspondiente procedimiento, el Auto del referido Juzgado de 18 de noviembre de 2001, mediante el que se acuerda elevar a este Tribunal cuestión de inconstitucionalidad en relación con el inciso “o visibles desde carreteras, caminos vecinales y demás vías públicas locales” de la letra s) del artículo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contravenir los artículos 31.1,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en esencia, los siguientes: </w:t>
      </w:r>
    </w:p>
    <w:p w:rsidRPr="00C21FFE" w:rsidR="00AD51A7" w:rsidRDefault="008777C4">
      <w:pPr>
        <w:rPr/>
      </w:pPr>
      <w:r w:rsidRPr="&lt;w:rPr xmlns:w=&quot;http://schemas.openxmlformats.org/wordprocessingml/2006/main&quot;&gt;&lt;w:lang w:val=&quot;es-ES_tradnl&quot; /&gt;&lt;/w:rPr&gt;">
        <w:rPr/>
        <w:t xml:space="preserve">El Excmo. Ayuntamiento de Valencia, en aplicación del art. 20.3 s) LHL, giró a la entidad Avenir España, S.A., una liquidación, cuyo importe ascendió a 255.016 ptas., en concepto de tasa por la instalación de una cartelera publicitaria sita en terrenos privados por la circunstancia de ser visibles desde la vía pública local. Instado recurso de reposición contra el acta y la liquidación, éste fue desestimado por Resolución núm. 630, de 19 de junio de 2001, de la Alcaldía-Presidencia de dicho Ayuntamiento. Contra dicha resolución Avenir España, S.A., interpuso recurso contencioso- administrativo ante el Juzgado del citado orden jurisdiccional núm. 6 de Valencia. </w:t>
      </w:r>
    </w:p>
    <w:p w:rsidRPr="00C21FFE" w:rsidR="00AD51A7" w:rsidRDefault="008777C4">
      <w:pPr>
        <w:rPr/>
      </w:pPr>
      <w:r w:rsidRPr="&lt;w:rPr xmlns:w=&quot;http://schemas.openxmlformats.org/wordprocessingml/2006/main&quot;&gt;&lt;w:lang w:val=&quot;es-ES_tradnl&quot; /&gt;&lt;/w:rPr&gt;">
        <w:rPr/>
        <w:t xml:space="preserve">Tramitado el mencionado recurso por el cauce del procedimiento abreviado y celebrada vista oral, quedando los autos conclusos, el día 26 de septiembre de 2001 dicho Juzgado dictó providencia en la que, con suspensión del término del plazo para dictar Sentencia, se acordó oír a las partes y al Ministerio Fiscal, por término de diez días, para que alegasen lo que estimasen oportuno sobre la pertinencia de promover cuestión de inconstitucionalidad. Evacuado el trámite conferido, tanto la parte actora como el Ministerio Fiscal consideraron procedente el planteamiento de la cuestión de inconstitucionalidad, mientras que el Ayuntamiento de Valencia presentó escrito en el que se oponía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18 de noviembre de 2001, el Juzgado de lo Contencioso-Administrativo núm. 6 de Valencia acordó elevar a este Tribunal cuestión de inconstitucionalidad en relación con el inciso “o visibles desde carreteras, caminos vecinales y demás vías públicas locales” de la letra s) del art. 20.3 LHL, en la redacción que le dio la Ley 25/1998, de 13 de julio, de modificación del régimen de las tasas estatales y locales y de reordenación de las prestaciones patrimoniales de carácter público, por poder contravenir los artículos 31.1 (principio de justicia del sistema tributario) y 133.1 y 132.2 (principio de reserva de ley en el establecimiento de los tributos y sus elementos esenciales) de la Constitución.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El Juzgado centra sus dudas sobre la constitucionalidad de la letra s) del art. 20.3 LHL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sino que más bien parece un intento de resucitar el impuesto sobre la publicidad, y no puede permitirse al legislador que regule y grave un hecho imponible, encuadrándolo en la figura tributaria que estime conveniente ya sea impuesto, tasa o contribución especial. </w:t>
      </w:r>
    </w:p>
    <w:p w:rsidRPr="00C21FFE" w:rsidR="00AD51A7" w:rsidRDefault="008777C4">
      <w:pPr>
        <w:rPr/>
      </w:pPr>
      <w:r w:rsidRPr="&lt;w:rPr xmlns:w=&quot;http://schemas.openxmlformats.org/wordprocessingml/2006/main&quot;&gt;&lt;w:lang w:val=&quot;es-ES_tradnl&quot; /&gt;&lt;/w:rPr&gt;">
        <w:rPr/>
        <w:t xml:space="preserve">Conforme al art. 20 LHL, las entidades locales, podrán establecer tasas por la utilización privativa o el aprovechamiento especial del dominio público local, pero el citado tributo, no viene referido a cualquier utilización o aprovechamiento, sino que la primera ha de ser privativa y el segundo especial, conceptos jurídicos que aparecen perfectamente definidos en los arts. 75 y siguientes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w:t>
      </w:r>
    </w:p>
    <w:p w:rsidRPr="00C21FFE" w:rsidR="00AD51A7" w:rsidRDefault="008777C4">
      <w:pPr>
        <w:rPr/>
      </w:pPr>
      <w:r w:rsidRPr="&lt;w:rPr xmlns:w=&quot;http://schemas.openxmlformats.org/wordprocessingml/2006/main&quot;&gt;&lt;w:lang w:val=&quot;es-ES_tradnl&quot; /&gt;&lt;/w:rPr&gt;">
        <w:rPr/>
        <w:t xml:space="preserve">Pone finalmente de manifiesto que la tasa cuestionada realmente pretende gravar el uso común y general del dominio público local, y éste es un uso que no es posible cuantificar. A este respecto, resulta confiscatorio pretender cuantificar dicho uso atendiendo al beneficio que la publicidad de los carteles, visibles desde los caminos y vías públicas locales, le reporta a terceros, bien sea a la empresa de publicidad bien al anunciante o incluso al particular, que cede su propiedad para la instalación de la publicidad. Así pues, concluye que no existe ningún criterio constitucionalmente legítimo para la cuantificación de la tasa cuestionada, lo que resulta contrario a los arts.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providencia de 4 de junio de 2002,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149, de 22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20 de junio de 2002, la Presidenta del Senado comunicó que se tuviera a dicha Cámara por personada en el procedimiento y por ofrecida su colaboración a los efectos del art. 88.1 LOTC. Al día siguiente se recibió otra comunicación de la Presidenta del Congreso de los Diputados en el sentido de que dicha Cámara no se personaría en el procedimiento ni formularía alegaciones,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26 de junio de 2002 el Abogado del Estado evacuó el trámite de alegaciones conferido, suplicando que se dictara Sentencia desestimando la cuestión planteada. En su escrito se remite a las alegaciones presentadas en relación con las cuestiones de inconstitucionalidad 5823-2000 y 5145-2001, por guardar ambas una identidad de contenido, dado que el precepto cuestionado es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por escrito registrado en este Tribunal el día 2 de julio de 2002 interesó la desestimación de la presente cuestión y respecto del fondo formuló en esencia las mismas alegaciones realizadas en relación con las cuestiones de inconstitucionalidad 5823-2000 y 5145-2001.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Contencioso-Administrativo núm. 6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núm.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6489-2001,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