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20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25 de noviembre de 2010, don Javier Martínez Izaguirre, representado por el Procurador de los Tribunales don Javier Cuevas Rivas y asistido por la Letrada doña Eukene Jauregi Lejona, interpuso recurso de amparo contra el Auto dictado por la Sección Segunda de la Sala de lo Penal de la Audiencia Nacional el 28 de septiembre de 2010, que desestimó el recurso de súplica interpuesto contra el Auto de 3 de septiembre del 2010, dictado por la misma Sección en la ejecutoria núm. 82-1997.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Pr="00C21FFE" w:rsidR="00AD51A7" w:rsidRDefault="008777C4">
      <w:pPr>
        <w:rPr/>
      </w:pPr>
      <w:r w:rsidRPr="&lt;w:rPr xmlns:w=&quot;http://schemas.openxmlformats.org/wordprocessingml/2006/main&quot;&gt;&lt;w:lang w:val=&quot;es-ES_tradnl&quot; /&gt;&lt;/w:rPr&gt;">
        <w:rPr/>
        <w:t xml:space="preserve">b) El 3 de septiembre de 2010 la Sección Segunda de la Sala de lo Penal de la Audiencia Nacional dictó Auto aprobando el licenciamiento definitivo del penado para el día 5 de mayo de 2022. </w:t>
      </w:r>
    </w:p>
    <w:p w:rsidRPr="00C21FFE" w:rsidR="00AD51A7" w:rsidRDefault="008777C4">
      <w:pPr>
        <w:rPr/>
      </w:pPr>
      <w:r w:rsidRPr="&lt;w:rPr xmlns:w=&quot;http://schemas.openxmlformats.org/wordprocessingml/2006/main&quot;&gt;&lt;w:lang w:val=&quot;es-ES_tradnl&quot; /&gt;&lt;/w:rPr&gt;">
        <w:rPr/>
        <w:t xml:space="preserve">c) Contra el anterior Auto interpuso el demandante un recurso de súplica, que fue desestimado por Auto de 28 de septiembre de 2010 que, del mismo modo que el Auto impugnado, se sustenta en el criterio iniciado por la Sala de lo Penal del Tribunal Supremo con la STS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del recurrente a la igualdad (art. 14 CE), a la libertad (art. 17.1 CE) y a la tutela judicial efectiva (art. 24.1 CE), así como los principios de legalidad (art. 25.1 CE) y seguridad jurídica (art. 9.1 CE), en cuanto que las penas privativas de libertad han de estar orientadas hacia la reeducación y reinserción social (art. 25.2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mayo de 2011 la Sala Segunda de este Tribunal acordó la admisión a trámite de la demanda de amparo, así como, a tenor de lo establecido en el art. 51 LOTC, requerir atentamente a la Sección Segunda de la Sala de lo Penal de la Audiencia Nacional para que remitiera testimonio de las actuaciones y emplazase a quienes fueron parte en el procedimiento, a excepción del demandante de amparo, para que pudieran comparecer en el presente proceso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presentó el 30 de mayo de 2011, a través del Juzgado de guardia de Madrid, un escrito en el que reitera la pretensión suspensiva, afirmando que, en otro caso, el recurso de amparo perdería su finalidad, al ser irreparable el perjuicio sufrido; añadiendo que la suspensión solicitada no ocasiona una perturbación específica y grave del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presentado el 31 de mayo de 2011, pide que se deniegue la suspensión solicitada, en atención al criterio seguido por este Tribunal en el ATC 206/2010, de 30 de diciembre, que resolvió una petición dimanante de un recurso sustancialmente igual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ha quedado expuesto, el recurrente en amparo impugna el Auto de la Sección Segunda de la Sala de lo Penal de la Audiencia Nacional de 3 de septiembre de 2010 así como el posterior Auto de 28 de septiembre de 2010, que desestimó el recurso de súplica interpuesto contra el primero. De modo que las resoluciones judiciales recurridas en amparo no son aquellas que impusieron las penas privativas de libertad sino las que aprobaron el licenciamiento definitivo del penado aplicando el criterio jurisprudencial acogido por la Sala de lo Penal del Tribunal Supremo a partir de su Sentencia 197/2006, de 28 de febrero.</w:t>
      </w:r>
    </w:p>
    <w:p w:rsidRPr="00C21FFE" w:rsidR="00AD51A7" w:rsidRDefault="008777C4">
      <w:pPr>
        <w:rPr/>
      </w:pPr>
      <w:r w:rsidRPr="&lt;w:rPr xmlns:w=&quot;http://schemas.openxmlformats.org/wordprocessingml/2006/main&quot;&gt;&lt;w:lang w:val=&quot;es-ES_tradnl&quot; /&gt;&lt;/w:rPr&gt;">
        <w:rPr/>
        <w:t xml:space="preserve">Por tanto, lo que el recurrente pretende es que este Tribunal acuerde cautelarmente su inmediata puesta en libertad en tanto se resuelva el recurso de amparo y, en consecuencia, se pronuncie sobre si el recurrente habría cumplido ya su condena el día 22 de septiembre de 2010 (según sostiene el demandante) o si, en cambio, no la extingue hasta el día 5 de mayo de 2022 (como es el criterio de las resoluciones de la Audiencia Nacional impugnadas), pues lo contrario, añade el recurrente, le produciría un perjuicio irreparable, en el caso de otorgarse finalmente el amparo.</w:t>
      </w:r>
    </w:p>
    <w:p w:rsidRPr="00C21FFE" w:rsidR="00AD51A7" w:rsidRDefault="008777C4">
      <w:pPr>
        <w:rPr/>
      </w:pPr>
      <w:r w:rsidRPr="&lt;w:rPr xmlns:w=&quot;http://schemas.openxmlformats.org/wordprocessingml/2006/main&quot;&gt;&lt;w:lang w:val=&quot;es-ES_tradnl&quot; /&gt;&lt;/w:rPr&gt;">
        <w:rPr/>
        <w:t xml:space="preserve">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lo que determinaría que la pérdida de la finalidad del amparo, caso de otorgarse el mismo, sería sólo parcial y puede atemperarse otorgando al recurso una tramitación preferente” (FJ 3). A lo anterior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Pr="00C21FFE" w:rsidR="00AD51A7" w:rsidRDefault="008777C4">
      <w:pPr>
        <w:rPr/>
      </w:pPr>
      <w:r w:rsidRPr="&lt;w:rPr xmlns:w=&quot;http://schemas.openxmlformats.org/wordprocessingml/2006/main&quot;&gt;&lt;w:lang w:val=&quot;es-ES_tradnl&quot; /&gt;&lt;/w:rPr&gt;">
        <w:rPr/>
        <w:t xml:space="preserve">Ello conduce a la denegación de la suspensión solicitada, sin perjuicio de que -en la línea de lo que constituye la práctica habitual en aquellos casos en los que resulta directamente afectado el derecho a la libertad-, a la vista de los motivos de amparo y de los derechos fundamentales en juego, este Tribunal proceda a la tramitación y resolución urgente del recurso (AATC 419/1997, de 22 de diciembre; 267/1998, de 26 de noviembre; 369/2005, de 24 de octubre y 214/2007, de 16 de abril).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don Javier Martínez Izaguirre en el recurso de amparo núm. 8326-2010.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