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octubre de 2011, la Procuradora de los Tribunales doña Raquel Nieto Bolaño, en nombre y representación del partido político Movimiento por la Unidad del Pueblo Canario, y bajo la dirección del Letrado don José Manuel Rivero Pérez, interpuso demanda de amparo electoral contra la Sentencia del Juzgado de lo Contencioso-Administrativo núm. 1 de Las Palmas de Gran Canaria de 28 de octubre de 2011, dictada en el procedimiento contencioso-electoral núm. 475-2011, por la que se desestima el recurso interpuesto contra el acuerdo de la Junta Electoral Provincial de Las Palmas de 24 de octubre de 2011 sobre no proclamación de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Las Palmas,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Las Palmas de 24 de octubre de 2011 se decidió la no proclamación de la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partido demandante interpuso recurso contencioso-electoral ex art. 49 LOREG ante el Juzgado de lo Contencioso-Administrativo núm. 1 de las Palmas de Gran Canaria, que fue tramitado con el núm. 475-2011, argumentando que el acuerdo de no proclamación vulnera el art. 23.2 CE, en relación con el principio de no discriminación del art. 14 CE, ya que los ciudadanos que figuran integrados en candidaturas de partidos que no hubieran obtenido representación en la anterior convocatoria de elecciones generales se ven discriminados y gravados injustificadamente en relación con las personas que figuran en partidos con representación parlamentaria. Igualmente, se argumentó que el requisito del art. 169.3 LOREG es contrario al pluralismo político (art. 1.1 CE) que expresan los partidos políticos (art. 6 CE), ya que excede de las exigencias constitucionales, por lo que solicitó al órgano judicial el planteamiento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Sentencia de 28 de octubre de 2011, argumentando que no procedía el planteamiento de la cuestión de inconstitucionalidad, toda vez que el requisito controvertido no constituye una desigualdad constitucionalmente relevante. A esos efectos, se señala que no puede compararse la situación de partidos que no han obtenido una representación parlamentaria con aquellos otros que sí obtuvieron dicha representación y, por tanto, han acreditado gozar de suficiente apoyo popular al haber obtenido, al menos, el 3 por 100 de los votos válidos emitidos, esto es, 30 veces más que el número de avales que exige el art. 169.3 LOREG. De ello deriva que no es irracional ni arbitrario que se excluya a los partidos con representación parlamentaria de la exigencia de avales. Igualmente, se argumenta que la Constitución sólo establece los requisitos mínimos necesarios para poder participar en las elecciones, lo que no impide que por ley puedan establecerse otras exigencias para poder ser proclamado candidato siempre que sean limitaciones justificadas, como es la del art. 169.3 LOREG que, conforme a la exposición de motivos de la Ley Orgánica 2/2011, se justifica en “impedir prácticas inaceptables desde la perspectiva de la seriedad del proceso electoral”. En ese sentido, señala que la finalidad de esta exigencia, que ya existe en la normativa electoral para las agrupaciones de electores, tiene la finalidad legítima de evitar la presentación de candidaturas que desde un principio no pueden acreditar tener un mínimo apoyo por carecer de implantación política e impedir la multiplicación de candidaturas que carecen de aceptación, pues el 0,1 por 100 del censo electoral es un porcentaje muy exiguo, coadyuvando a que la Administración electoral funcione con eficacia y eficiencia como le impone los arts. 31.2 y 103.1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partido recurrente aduce en su demanda de amparo que las resoluciones impugnadas han vulnerado su derecho de participación política y de acceso en condiciones de igualdad a las funciones y cargos públicos (art. 23.2 CE), en relación con el derecho a la igualdad y el principio de no discriminación (art. 14 CE) y con el valor superior del pluralismo político (art. 1.1 CE) que los partidos políticos expresan (art. 6 CE). A esos efectos, el partido recurrente argumenta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Igualmente, se destaca que este trato discriminatorio se acrecienta con la circunstancia de que a los partidos que ya obtuvieron representación parlamentaria se les otorgan sustanciosas subvenciones anuales. También se argumenta que el requisito del art. 169.3 LOREG excede de las exigencias constitucionales, ya que la Constitución no exige para participar en unas elecciones generales el pasar previamente por una especie de primarias en que se convierte la exigencia de avales. Por todo ello, solicita que se plantee una cuestión interna de inconstitucionalidad en relación con el art. 169.3 LOREG.</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(por todas, STC 193/1989, de 16 de noviembre, FJ 3). A esa misma conclusión debe llegarse en relación con las invocaciones del valor superior del pluralismo político (art. 1.1 CE), que representan los partidos políticos (art. 6 CE), toda vez que, al margen de no tratarse de derechos susceptibles de amparo constitucional, también caben ser reconducidos en los términos en que han sido alegados en la demanda al parámetro de control dispensado por la invocación del derecho fundamental previsto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teniendo en cuenta que en el presente recurso de amparo, tal como se ha expuesto más detalladamente en los antecedentes, se impugna el acuerdo de la Junta Electoral Provincial de Las Palmas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3 de noviembre de 2011</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