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30 de octubre de 2011, el Procurador de los Tribunales don José Andrés Peralta de la Torre interpuso recurso de amparo electoral, en nombre y representación del Hartos.org, contra la resolución de la Junta Electoral Provincial de Lleida, de 25 de octubre de 2011, confirmada por la Sentencia de 28 de octubre de 2011, dictada por el Juzgado de lo Contencioso-Administrativo núm.1 de Lleida en el recurso núm. 638-2011.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formación política Hartos.org interpuso recurso contencioso-electoral contra el acuerdo de la Junta Electoral Provincial de Lleida de 25 de octubre de 2011, por el que se denegaba la proclamación de sus candidaturas a las elecciones generales a celebrar el 20 de noviembre de 2011, al no haber cumplido dicho partido, que no obtuvo representación parlamentaria en los anteriores comicios, el requisito establecido en el art. 169.3 de la Ley Orgánica 5/1985, de 19 de junio, del régimen electoral general (LOREG) en la redacción dada por la Ley Orgánica 2/2011, de 28 de enero. El motivo de la denegación residió en que no presentó un número de avales suficiente.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contencioso-electoral se alegaba que tanto la modificación operada por la Ley Orgánica 2/2011, de 28 de enero, como la instrucción 7/2011, de 15 de septiembre, de la Junta Electoral Central, y la resolución posterior de dicha junta electoral, de 20 de octubre de 2011, no pueden aplicarse a este proceso electoral, pues lo contrario implicaría su vigencia retroactiva. Y, en segundo lugar, que el requisito de presentación de avales impuesto a las candidaturas que no hubiesen obtenido representación en anteriores elecciones resultaba contrario al art. 23 CE, invocándose asimismo los arts. 1, 6, 9.2, 14 y 16.2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Sentencia de 28 de octubre de 2011 del Juzgado de lo Contencioso-Administrativo núm. 1 de Lleida desestima el recurso contencioso-electoral. Razona que la convocatoria de las elecciones se produjo por Real Decreto 1329/2011, de 26 de septiembre, fecha netamente posterior a la modificación legislativa citada. Y añade seguidamente, sin mayores consideraciones, que no se puede entender que la introducción de un requisito consistente en la exigencia de avales a algunas candidaturas, a diferencia de lo que ocurre con las que tienen representación parlamentaria, sea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margen de otras consideraciones que realiza sobre las vicisitudes del proceso (críticas por incoherencia e ineficacia de la Junta Electoral Central, por la intervención del Instituto Nacional de Estadística y por lo privilegios que considera que benefician a los partidos parlamentarios), la demanda de amparo sitúa la vulneración de derechos fundamentales en distintos planos. A su juicio, el art. 169.3 de la Ley Orgánica 5/1985, de 19 de junio, del régimen electoral general (LOREG) en la redacción dada por la Ley Orgánica 2/2011, de 28 de enero, supone una quiebra del pluralismo político (art. 1.1 CE), obviándose que el art.6 CE no diferencia a aquellos partidos que obtienen representación en las Cortes Generales de los restantes. A partir de ello, denuncia la lesión del art. 23.2 CE, pues supone una traba en el derecho a participar en los asuntos públicos, directamente o por medio de representantes, ya que sólo se podrá optar a la elección de dichos representantes si superan el requisito previo de aportar las firmas requeridas. La obligatoria obtención de avales supone de facto la limitación de opciones políticas, ya que la recogida de avales de ciudadanos que circulan por espacios públicos en solo veinte días, afirma, limita de forma considerable el número de ciudadanos censados para poder avalar a un partido. Considera asimismo lesionado el art. 14 CE (del que se infiere que no puede existir un diferente trato en función de resultados electorales previos), y, añade, también el art. 16.2 CE (pues aquel precepto legal, como la instrucción 7/2011, de 15 de septiembre, de la Junta Electoral Central, permite a los ciudadanos manifestar el apoyo a una única candidatura, obligándoles a manifestar la propia ideología sin el amparo del anonimato que otorga el voto secreto en la jornada electoral; lo mismo que obliga a las formaciones políticas a ofrecer datos personales de los avalistas, vulnerando la confidencialidad de sus militantes, afiliados, simpatizantes o personas que han decidido apoyar la candidatura puntualmente).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lo expuesto, interesa la anulación de la resolución judicial impugnada y el acuerdo de la Junta Electoral Provincial que la misma confirma, con la consiguiente proclamación de las candidaturas de Hartos.org, en la circunscripción de Lleida, así como la declaración de la nulidad de la nueva redacción dada al art. 193.2 LOREG (sic) y del Decreto de convocatoria de las elecciones generales del 20 de noviembre de 2011, exigiendo una nueva convocatoria electoral.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que, en su caso, pudiera haber resultado directamente transgredido (por todas, STC 193/1989, de 16 de noviembre, FJ 3). A esa misma conclusión debe llegarse en relación con las invocaciones al valor superior del pluralismo político (art. 1.1 CE), que expresan los partidos políticos (art. 6 CE), toda vez que, al margen de no tratarse de derechos susceptibles de amparo constitucional, también pueden ser reconducidos en los términos en que han sido alegados en la demanda al parámetro de control dispensado por la invocación del derecho fundamental previsto en el art. 23.2 CE. Finalmente, la demanda de amparo invoca el art. 16.2 CE, que recibirá respuesta particularizada en el fundamento jurídico 4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destacarse, por otra parte, que aunque el recurso parece censurar asimismo la instrucción de la Junta Electoral Central 7/2011, de 15 de septiembre, y la resolución del Presidente de la Junta Electoral Central, de 20 de octubre de 2011, el objeto de este procedimiento constitucional no puede comprenderlas, ya que su impugnación no puede efectuarse a través del recurso de amparo electoral. Como señalamos en la STC 112/2007, de 10 de mayo, FJ 2, “[l]a ‘modalidad específica de recurso de amparo’ (SSTC 71/1986, de 31 de mayo, y 1/1988, de 13 de enero) que articuló la Ley Orgánica del régimen electoral general, se prevé, de modo expreso, como cauce de amparo frente a las resoluciones de las que conoció o que dictaron los Juzgados de lo Contencioso-Administrativo en recursos frente a la proclamación de candidaturas y candidatos (arts. 49.3 y 4 LOREG) o también, por vía de remisión explícita, frente a las resoluciones dictadas por la Sala del Tribunal Supremo regulada en el art. 61 de la Ley Orgánica del Poder Judicial (LOPJ) cuando de lo que se trata es de recurrir frente a la proclamación o exclusión de candidaturas presentadas por las agrupaciones de electores a que se refiere el art. 44.4 de la propia Ley Orgánica del régimen electoral general (es decir, conforme a este último precepto, aquéllas que vengan a continuar o suceder la actividad de un partido político declarado judicialmente ilegal y disuelto, o suspendido)”, por lo que, con independencia de otras consideraciones, es claro que, al no tener por objeto directo las referidas instrucción 7/2011, de 15 de septiembre, y resolución del Presidente de la Junta Electoral Central, de 20 de octubre de 2011, la proclamación de candidaturas, no pueden ser objeto de un recurso de amparo electoral. Y por esta razón no van a ser objeto de examen las alegaciones que se refieren a las infracciones constitucionales que se imputan a esta resolución, sin perjuicio de las conclusiones que la Junta Electoral Central pueda extraer de lo aquí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todavía con carácter previo, convendrá subrayar que a pesar de que el recurso realiza diversas consideraciones sobre lo que califica como falta de eficacia de la administración de la Junta Electoral Central (censurando el cambio de criterio que, a su juicio, habría operado la resolución del Presidente de 20 de octubre antes citada respecto de la instrucción 7/2011, de 15 de septiembre, en lo relativo a las “insuficiencia de avales”), lo cierto es que, más allá de lo señalado en el párrafo anterior, se advierte que el recurrente no formula queja alguna respecto de las posibilidades de subsanación con las que contó en el caso concreto, no pudiéndosele extender, en consecuencia, la doctrina sentada en la STC 162/2011,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margen de lo anterior, en el fundamento jurídico 8 de la mencionada STC 163/2011, de 2 denoviembre, y en relación con la eventual incidencia que tendría la exigencia de avales en el derecho a no ser obligados a declarar sobre la propia ideología (art. 16.2 CE), este Tribunal ha destacado que quien voluntariamente decide apoyar con su firma la presentación de una candidatura ni está siendo obligado a declarar sobre su ideología ni tampoco equivale a manifestar una inequívoca adhesión ideológica a la misma. Del mismo modo, también se descarta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atención a lo expuesto, teniendo en cuenta que en el presente recurso de amparo, tal como se ha expuesto más detalladamente en los antecedentes, el partido recurrente ha impugnado el acuerdo de la junta electoral de no proclamación de su candidatura —y la resolución judicial que confirmó su adecuación a derecho—, que se fundamentó en el incumplimiento de la exigencia de avales prevista en el art. 169.3 LOREG y que dicho precepto no puede ser considerado lesivo del art. 23.2 CE, procede inadmitir la presente demanda de amparo electoral por inexistencia de violación de un derecho fundamental tutelable en amparo que, de acuerdo con el art. 43.1 LOTC, es requisito para que este Tribunal pueda ejercer dicha tutela. En consecuencia, el presente recurso incurre en el supuesto de inadmisión previsto en el art. 50.1 a) en relación con el art. 43.1, ambos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