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octubre de 2011, el Procurador de los Tribunales don Luciano Bosch Nadal, en nombre y representación del Partido Andalucista y doña Pilar González Modino, y bajo la dirección del Letrado don Fernando Zamora Vega, interpuso demanda de amparo electoral contra la Sentencia del Juzgado de lo Contencioso-Administrativo núm. 33 de Madrid de 28 de octubre de 2011, dictada en el procedimiento contencioso-electoral núm. 2-2011, por la que se desestima el recurso interpuesto contra el acuerdo de la Junta Electoral Provincial de Madrid de 24 de octubre de 2011 sobre no proclamación de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partido recurrente, que no había obtenido ninguna representación parlamentaria en las anteriores elecciones generales celebradas en 2008, presentó su candidatura, en la que se incluía doña Pilar González Modino, para las elecciones generales convocadas por Real Decreto 1329/2011, de 26 de septiembre, en la circunscripción de Madrid, sin adjuntar las firmas de, al menos, el 0,1 por 100 de los electores inscritos en el censo electoral de dicha circunscripción, tal como exige el art. 169.3 de la Ley Orgánica del régimen electoral general (LOREG), en la redacción dada por la Ley Orgánica 2/2011, de 28 de enero. Por acuerdo de la Junta Electoral Provincial de Madrid de 24 de octubre de 2011 se decidió la no proclamación de la candidatura.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demandantes interpusieron recurso contencioso-electoral ex art. 49 LOREG ante el Juzgado de lo Contencioso-Administrativo núm. 33 de Madrid, que fue tramitado con el núm. 2-2011, argumentando que la previsión del art. 169.3 LOREG vulnera el art. 23.2 CE, en relación con los arts. 14, 16.2, 6 y 9 CE, ya que supone una restricción al derecho de participación política que es arbitraria y desproporcionada, solicitando el planteamiento de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recurso fue desestimado por Sentencia de 28 de octubre de 2011, argumentando que el art. 23.2 CE establece un derecho de configuración legal que puede ser desarrollado por el legislador y que en virtud de esa habilitación la exigencia de avales del art. 169.3 LOREG no puede ser considerada arbitraria ni desproporcionada, toda vez que el diferente trato con los partidos que han tenido representación parlamentaria se justifica porque ya han acreditado un mínimo apoyo del electorado y la exigencia del 0,1 por 100 no es un porcentaje excesivo o inalcanzable para su normal cumplimiento por las candidaturas. También se señala la existencia de una justificación legítima de la medida en la necesidad de simplificar el proceso electoral y coadyuvar al cumplimiento del objetivo del déficit.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aducen en su demanda de amparo que las resoluciones impugnadas han vulnerado el principio de igualdad (art. 14 CE), en relación con el derecho de acceso a los cargos públicos en condiciones de igualdad (art. 23.2 CE), ya que la exigencia de avales del art. 169.3 LOREG imponen diferencias comparativas que resultan contrarias al principio de igualdad restringiendo de forma arbitraria a los partidos que no han obtenido representación parlamentaria en las anteriores elecciones generales su participación política. Igualmente, señalan que esta exigencia se hace con fundamento en una justificación de sospecha respecto de que estos partidos llevan a cabo actitudes de poca seriedad, pero sin clarificar a qué prácticas se están refiriendo. También afirman los recurrentes que esta falta de la debida justificación de la exigencia de avales resulta contraria a la doctrina constitucional sobre la necesidad de una motivación especialmente fundada para justificar este tipo de restricciones de derechos fundamentales. Del mismo modo, para argumentar la desproporcionalidad de la medida, destacan los recurrentes que si la pretensión de esta exigencia es evitar determinadas prácticas fraudulentas, como el uso del censo, existen otros instrumentos jurídicos. Por último, discrepan los recurrentes con la argumentación de la resolución judicial impugnada, afirmando que el ejercicio de un derecho fundamental no puede limitarse por razones económicas ni por una pretendida simplificación del proceso electoral.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la no proclamación de la candidatura del partido recurrente al no haberse adjuntado los avales exigidos por el art. 169.3 de la Ley Orgánica del régimen electoral general (LOREG), en la redacción dada por la Ley Orgánica 2/2011, de 28 de enero, ha vulnerado el derecho a acceder en condiciones de igualdad a las funciones y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pesar de la diversidad de preceptos constitucionales invocados, para una adecuada delimitación de este recurso de amparo se debe recordar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(por todas, STC 193/1989, de 16 de noviembre, FJ 3), sin que resulte posible analizar otros preceptos constitucionales que a pesar de ser invocados su eventual vulneración no aparece desarrollada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también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al acceso a los cargos públicos, que es el real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teniendo en cuenta que en el presente recurso de amparo, tal como se ha expuesto más detalladamente en los antecedentes, se impugna el acuerdo de la Junta Electoral Provincial de Madrid de no proclamar la candidatura del partido recurrente (y la Sentencia que confirmó su adecuación a Derecho), con fundamento en el incumplimiento de la exigencia de aportación de avales prevista en el art. 169.3 LOREG, y que dicho precepto no puede ser considerado lesivo del art. 23.2 CE, procede inadmitir la presente demanda de amparo electoral por inexistencia de violación de un derecho fundamental tutelable en amparo que, de acuerdo con el art. 43.1 de la Ley Orgánica del Tribunal Constitucional (LOTC), es requisito para que este Tribunal pueda ejercer dicha tutela. En consecuencia, el presente recurso incurre en el supuesto de inadmisión previsto en el art. 50.1 a)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