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145</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3 de noviembre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31 de octubre de 2011, el Procurador de los Tribunales don Carlos Badía Martínez, en nombre y representación de la formación política Partido Familia y Vida interpuso recurso de amparo electoral contra la resolución de la Junta Electoral Provincial de Barcelona de 24 de octubre de 2011 y frente a la Sentencia del Juzgado de lo Contencioso-Administrativo núm. 13 de Barcelona de 29 de octubre de 2011, por la que se desestimó el recurso contencioso electoral planteado frente a la mencionada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fundamenta la demanda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partido político demandante de amparo, que no había obtenido representación parlamentaria en la anterior convocatoria electoral, presentó su candidatura a las elecciones generales convocadas por Real Decreto 1329/2011, de 26 de septiembre, por la circunscripción de Barcelona, adjuntando 2.156 firmas de apoyo. La Junta Electoral Provincial de Barcelona, mediante resolución de 24 de octubre de 2011, publicada en el “Boletín Oficial del Estado” del siguiente día 25 de octubre, acordó, tras las comprobaciones oportunas, no proclamar la candidatura habida cuenta el defecto no subsanable advertido y cifrado en el hecho de que el citado número de avales presentados quedaba muy lejos de las 4.028 firmas de electores inscritos en el censo electoral necesarias para alcanzar el 0,1 por 100 de dicho censo que exige el art. 169.3 de la Ley Orgánica del régimen electoral general (LOREG).</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Contra esta decisión el partido recurrente en amparo interpuso recurso contencioso electoral denunciando la vulneración de los arts. 14, 16 y 23.2 CE, y que fue tramitado bajo el núm. 553-2011 por el Juzgado de lo Contencioso-Administrativo núm. 13 de Barcelona. Por Sentencia de 28 de octubre de 2011 el órgano judicial desestimó el recurso por considerar, en síntesis, que el art. 169.3 LOREG establece un requisito razonable, proporcionado y que responde a un fin constitucionalmente legítimo (asegurar la seriedad del proceso electoral), y que no pugna tampoco con el derecho a la libertad ideológica.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Alega la formación política recurrente que las resoluciones impugnadas han vulnerado el derecho de acceso a los cargos públicos en condiciones de igualdad (art. 23.2 CE), porque, en su criterio, la exigencia del art. 169.3 LOREG establece una limitación injustificada y desproporcionada en el citado derecho constitucional. También aduce la infracción del principio de no discriminación del art. 14 CE, toda vez que, a su juicio, la presentación de avales que exige el art. 169.3 LOREG discrimina y grava sin ninguna justificación razonable a los ciudadanos integrados en su candidatura, que no obtuvo representación en la anterior convocatoria de elecciones generales, respecto de las personas que concurren en listas de partidos con representación parlamentaria. Y por último sostiene que esta exigencia legal vulnera el derecho a no ser obligado a declarar sobre la propia ideología (art. 16.2 CE), pues la comentada exigencia del art. 169.3 LOREG obliga a los avalistas a proporcionar datos personales que revelan su ideología.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es determinar si la no proclamación de la candidatura del partido recurrente, al no haberse adjuntado los avales exigidos por el art. 169.3 de la Ley Orgánica del régimen electoral general (LOREG), en la redacción dada por la Ley Orgánica 2/2011, de 28 de enero, ha vulnerado el derecho a acceder en condiciones de igualdad a las funciones y cargos públicos (art. 23.2 CE), el derecho a la a la no discriminación (art. 14 CE) y el derecho a no ser obligado a declarar sobre su ideología (art. 16.2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Conviene señalar en primer lugar que la queja por la que se aduce la vulneración del principio de igualdad (art. 14 CE) ha de entenderse subsumida, de acuerdo con reiterada doctrina constitucional, en el derecho de acceso a los cargos públicos (art. 23.2 CE), que es el que, en su caso, pudiera haber resultado directamente transgredido.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también debe señalarse que, aunque la demanda se dirige formalmente contra el acuerdo de la Junta Electoral Provincial de no proclamación de la candidatura del partido recurrente y contra la resolución judicial que la ha confirmado, lo que en realidad se cuestiona es si el requisito legal impuesto por el art. 169.3 LOREG para la presentación de candidaturas por partidos políticos, federaciones o coaliciones que no hubieran obtenido representación parlamentaria en la anterior convocatoria electoral resulta lesivo o no de los referidos derechos fundamentales, que es el real objeto de este recurso de amparo, con las limitaciones propias que impone este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de la eventual inconstitucionalidad de esta exigencia de avales ya ha sido objeto de pronunciamiento por parte de este Tribunal en la STC 163/2011, de 2 de noviembre. En dicha Sentencia, se recuerdan las líneas esenciales de la doctrina constitucional sobre el derecho a acceder en condiciones de igualdad a los cargos públicos con los requisitos que señalen las leyes (art. 23.2 CE), en el que se incluye el derecho a presentar candidaturas y a presentarse como candidato en las diversas convocatorias electorales si se cumplen los requisitos legalmente establecidos al efecto. Así, se pone de manifiesto que es un derecho que confiere al legislador un amplio margen para configurar el sistema electoral, con las limitaciones que imponen, por un lado, que el ejercicio de ese derecho se apliquen a todos los ciudadanos por igual, sin obstáculos para que se concurra en idénticas condiciones legales ni diferencias injustificadas o irrazonables en la aplicación de las condiciones legales, y, por otro, que se respete el contenido sustantivo propio que impone el concepto constitucional de representación política (FJ 3). En virtud de ello, se incide en la Sentencia en que, con independencia de que la exigencia de avales no esté expresamente prevista en la Constitución, su eventual contradicción con el art. 23.2 CE sólo dependerá de que se hayan sobrepasado las limitaciones impuestas al legislador respecto de su carácter no discriminatorio o contrario al principio de representación política, no convirtiendo este requisito en arbitrario el hecho de que el legislador no haya explicado de manera suficiente las razones de su decisión legislativa, lo que sólo puede concluirse de su contraste con el texto constitucional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también se destaca en el fundamento jurídico 5 de la mencionada Sentencia que este Tribunal ha reiterado que la libertad de presentación de candidaturas por los partidos no es absoluta, pudiendo ser limitada por el legislador en atención a valores y bienes constitucionales protegidos, por lo que lo relevante para determinar la constitucionalidad de la exigencia de avales controvertida, como requisito limitativo a la presentación de candidaturas, es si tiene o no un fundamento constitucional que la justifique. A esos efectos, se recuerda que la exigencia de avales ni es inédita en los ordenamientos de países de nuestro entorno, ni tampoco en nuestro propio ordenamiento, en que se establece para las elecciones al Parlamento europeo la necesidad de que los partidos, coaliciones, federaciones y agrupaciones de electores presenten la firma de 15.000 electores o la firma de cincuenta cargos electos (arts. 220.3 y 4 LOREG) y también en relación con las agrupaciones de electores, a las que se exige para las elección al Congreso de los Diputados y al Senado en el mismo art. 169.3 LOREG un porcentaje de firmas del 1 por 100, lo que el Tribunal Europeo de Derechos Humanos, en su decisión de 9 de mayo de 1994, caso J.A. Serqueda c. España, no consideró contrario al Convenio europeo para la protección de los derechos humanos y de las libertades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partir de todo lo expuesto, en la citada STC 163/2011, de 2 de noviembre, este Tribunal ha concluido que la necesidad de obtención de avales establecida en el art. 169.3 LOREG no vulnera el derecho de acceso en condiciones de igualdad a las funciones y cargos públicos (art. 23.2 CE), ya que “constituye una limitación objetiva no carente de fundamento constitucional, pues obedece a la consecución de un valor o bien constitucionalmente protegido, como es el de la racionalización y perfeccionamiento de la organización y desarrollo del proceso electoral, a través del cual se articula la representación política, cuyo adecuado funcionamiento puede verse efectivamente afectado por la excesiva proliferación de candidaturas carentes, por las razones que fueran, de respaldo o arraigo en el cuerpo electoral” (FJ 6). Del mismo modo, se señala que “el requisito establecido en el art. 169.3 LOREG, además de atender a la racionalización y perfeccionamiento del procedimiento electoral en lo que se refiere a los recursos públicos destinados a su celebración y a la complejidad de su organización, también podría favorecer la clarificación de la oferta electoral, mediante la exclusión de aquellas candidaturas que, en el momento de su presentación, no sean capaces de acreditar, con la firma de los electores, un mínimo respaldo o arraigo en la circunscripción en la que pretenden presentarse. Asimismo cabe pensar que el requisito en cuestión podría evitar la dispersión del voto entre opciones partidarias que son expresión de una misma orientación o corriente ideológica, al facilitar, mediante la referida exclusión de candidaturas que no alcancen ese mínimo arraigo en el cuerpo electoral, que las opciones partidarias con respaldo suficiente que sean expresión de orientaciones o corrientes ideológicas minoritarias puedan superar la barrera electoral que permite obtener representación parlamentaria (STC 48/2003, de 12 de marzo, FJ 5), lo que contribuye a preservar el valor constitucional del pluralismo político (art. 1.1 CE), del que los partidos políticos son expresión principalísima”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este Tribunal ha expuesto en dicha Sentencia que la situación de desigualdad por limitar la exigencia de avales a los partidos que no hubieran obtenido en la anterior convocatoria electoral representación parlamentaria “no está desprovista desde la perspectiva del art. 23.2 CE de una justificación objetiva y razonable, ya que la obtención de representación parlamentaria en la última convocatoria electoral acredita que los partidos políticos que la han alcanzado gozan o, al menos, han gozado, de un respaldo o arraigo en el cuerpo electoral con ocasión de la celebración de un proceso electoral del que carecen los partidos políticos que, habiéndose presentado al mismo proceso electoral, no han tenido representación y que se desconoce que tengan o puedan tener aquellos partidos políticos que no han concurrido a la anterior convocatoria electoral. Entre unos partidos políticos y otros existe, por tanto, un elemento diferenciador (haber obtenido o no representación en cualquiera de las Cámaras de las Cortes Generales) que, en atención a las finalidades legítimas a las que sirve el requisito del art. 169.3 LOREG, constituye una justificación objetiva y razonable del distinto trato que el legislador dispensa a uno y a otros en relación con dicho requisito”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también en dicha Sentencia este Tribunal ha descartado que este requisito legal de obtención de avales del 0,1 por 100 pueda ser considerado desproporcionado puesto en relación tanto con la exigencia del 1 por 100 de avales a las agrupaciones electorales para presentar candidaturas en las elecciones al Congreso de los Diputados y al Senado (art. 169.3 LOREG) y en las elecciones municipales (art. 187.3 LOREG) como con la exigencia de 15.000 firmas a los partidos políticos, coaliciones, federaciones y agrupaciones de electores para la presentación de candidaturas en las elecciones al Parlamento Europeo (art. 214 LOREG). Del mismo modo se descarta que concurra desproporción alguna de esta exigencia de avales puesta en relación con el plazo concedido por las juntas electorales, de conformidad con lo dispuesto en la instrucción 7/2011, de 15 de septiembre, de la Junta Electoral Central, relativa al procedimiento de acreditación de firmas de apoyo de candidaturas, que se extiende desde la convocatoria electoral correspondiente hasta la finalización del plazo de presentación de candidaturas (apartado quinto)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último debe señalarse la mencionada STC 163/2011, de 2 de noviembre, FJ 8, también se pronuncia sobre la eventual incidencia que tendría la exigencia de avales en el derecho de los avalistas o en su derecho a no declarar sobre su ideología y pone de manifiesto que es “obvio que quien voluntariamente decide apoyar con su firma la presentación de una candidatura a las elecciones no está siendo obligado a declarar sobre su ideología, como también lo es que avalar una determinada candidatura no equivale necesariamente a manifestar una inequívoca adhesión ideológica a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atención a lo expuesto, teniendo en cuenta que en el presente recurso de amparo, tal como se ha expuesto más detalladamente en los antecedentes, se impugna el acuerdo de la Junta Electoral Provincial de Pontevedra de no proclamar la candidatura de la coalición recurrente (y la Sentencia que confirmó su adecuación a Derecho), con fundamento en el incumplimiento de la exigencia de aportación de avales prevista en el art. 169.3 LOREG, y que dicho precepto no puede ser considerado lesivo de los arts. 16.2 y 23.2 CE, procede inadmitir la presente demanda de amparo electoral por inexistencia de violación de un derecho fundamental tutelable en amparo que, de acuerdo con el art. 43.1 de la Ley Orgánica del Tribunal Constitucional (LOTC), es requisito para que este Tribunal pueda ejercer dicha tutela. En consecuencia, el presente recurso incurre en el supuesto de inadmisión previsto en el art. 50.1 a) en relación con el art. 43.1, ambos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noviembre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