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octubre de 2011, el Procurador de los Tribunales don Carlos Badía Martínez, en nombre y representación de la formación política Partido Familia y Vida interpuso recurso de amparo electoral contra la resolución de la Junta Electoral Provincial de Barcelona de 24 de octubre de 2011 y frente a la Sentencia del Juzgado de lo Contencioso-Administrativo núm. 13 de Barcelona de 29 de octubre de 2011, por la que se desestimó el recurso contencioso electoral planteado frente a la mencionada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partido político demandante de amparo, que no había obtenido representación parlamentaria en la anterior convocatoria electoral, presentó su candidatura a las elecciones generales convocadas por Real Decreto 1329/2011, de 26 de septiembre, por la circunscripción de Barcelona, adjuntando 2.156 firmas de apoyo. La Junta Electoral Provincial de Barcelona, mediante resolución de 24 de octubre de 2011, publicada en el “Boletín Oficial del Estado” del siguiente día 25 de octubre, acordó, tras las comprobaciones oportunas, no proclamar la candidatura habida cuenta el defecto no subsanable advertido y cifrado en el hecho de que el citado número de avales presentados quedaba muy lejos de las 4.028 firmas de electores inscritos en el censo electoral necesarias para alcanzar el 0,1 por 100 de dicho censo que exige el art. 169.3 de la Ley Orgánica del régimen electoral general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esta decisión el partido recurrente en amparo interpuso recurso contencioso electoral denunciando la vulneración de los arts. 14, 16 y 23.2 CE, y que fue tramitado bajo el núm. 553-2011 por el Juzgado de lo Contencioso-Administrativo núm. 13 de Barcelona. Por Sentencia de 28 de octubre de 2011 el órgano judicial desestimó el recurso por considerar, en síntesis, que el art. 169.3 LOREG establece un requisito razonable, proporcionado y que responde a un fin constitucionalmente legítimo (asegurar la seriedad del proceso electoral), y que no pugna tampoco con el derecho a la libertad ideológica.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formación política recurrente que las resoluciones impugnadas han vulnerado el derecho de acceso a los cargos públicos en condiciones de igualdad (art. 23.2 CE), porque, en su criterio, la exigencia del art. 169.3 LOREG establece una limitación injustificada y desproporcionada en el citado derecho constitucional. También aduce la infracción del principio de no discriminación del art. 14 CE, toda vez que, a su juicio, la presentación de avales que exige el art. 169.3 LOREG discrimina y grava sin ninguna justificación razonable a los ciudadanos integrados en su candidatura, que no obtuvo representación en la anterior convocatoria de elecciones generales, respecto de las personas que concurren en listas de partidos con representación parlamentaria. Y por último sostiene que esta exigencia legal vulnera el derecho a no ser obligado a declarar sobre la propia ideología (art. 16.2 CE), pues la comentada exigencia del art. 169.3 LOREG obliga a los avalistas a proporcionar datos personales que revelan su ideología.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 el derecho a la a la no discriminación (art. 14 CE) y el derecho a no ser obligado a declarar sobre su ideología (art. 16.2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señalar en primer lugar que la queja por la que se aduce la vulneración del principio de igualdad (art. 14 CE) ha de entenderse subsumida, de acuerdo con reiterada doctrina constitucional, en el derecho de acceso a los cargos públicos (art. 23.2 CE), que es el que, en su caso, pudiera haber resultado directamente transgredido.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en realidad se cuestiona es si el requisito legal impuesto por el art. 169.3 LOREG para la presentación de candidaturas por partidos políticos, federaciones o coaliciones que no hubieran obtenido representación parlamentaria en la anterior convocatoria electoral resulta lesivo o no de los referidos derechos fundamentales,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 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debe señalarse la mencionada STC 163/2011, de 2 de noviembre, FJ 8, también se pronuncia sobre la eventual incidencia que tendría la exigencia de avales en el derecho de los avalistas o en su derecho a no declarar sobre su ideología y pone de manifiesto que es “obvio que quien voluntariamente decide apoyar con su firma la presentación de una candidatura a las elecciones no está siendo obligado a declarar sobre su ideología, como también lo es que avalar una determinada candidatura no equivale necesariamente a manifestar una inequívoca adhesión ideológica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se impugna el acuerdo de la Junta Electoral Provincial de Pontevedra de no proclamar la candidatura de la coalición recurrente (y la Sentencia que confirmó su adecuación a Derecho), con fundamento en el incumplimiento de la exigencia de aportación de avales prevista en el art. 169.3 LOREG, y que dicho precepto no puede ser considerado lesivo de los arts. 16.2 y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