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161</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22 de noviembre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4 de julio de 2011 el Abogado del Estado, en nombre del Presidente del Gobierno, interpuso recurso de inconstitucionalidad contra la Ley de la Comunidad Valenciana 5/2011, de 1 de abril, de relaciones familiares de los hijos e hijas cuyos progenitores no conviven.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19 de julio de 2011 el Pleno del Tribunal Constitucional, a propuesta de la Sección Primera, acordó admitir a trámite el recurso de inconstitucionalidad, dar traslado de la demanda y documentos presentados, conforme establece el art. 34 de la Ley Orgánica del Tribunal Constitucional (LOTC), al Congreso de los Diputados y al Senado así como al Gobierno de la Generalitat Valenciana y a las Cortes Valencianas,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 los preceptos impugnados desde la fecha de interposición del recurso —4 de julio de 2011— para las partes del proceso y desde el día en que aparezca publicada la suspensión en el “Boletín Oficial del Estado” para los terceros, lo que se comunicó a los Presidentes del Gobierno de la Generalitat Valenciana y de las Cortes Valencianas. Por último, también se ordenó publicar la incoación del recurso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Constitucional el día 28 de julio de 2011 el Director General de la Abogacía General de la Generalitat Valenciana compareció en el proceso en representación del Gobierno de la Comunidad Autónoma solicitando una prórroga en el plazo para la formulación de alegaciones, prórroga que le fue concedida por providencia del Tribunal Constitucional de 5 de septiembre por el que se le prorroga en ocho días más el plazo concedido en la inicial providencia de 19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29 de julio de 2011 el Presidente del Congreso de los Diputados comunicó que la Cámara se personaba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Constitucional el día 2 de septiembre de 2011 el Letrado de las Cortes Valencianas compareció en el proceso solicitando una prórroga en el plazo de alegaciones, prórroga que le fue concedida por providencia de 5 de septiembre por el que se le prorroga en ocho días más el plazo concedido en la inicial providencia de 19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Presidente del Senado, mediante escrito registrado el día 8 de septiembre de 2011, comunicó que la Mesa de la Cámara, en su reunión del día 6 de septiembre, había acordado dar por personada a la Cámara en este procedimiento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29 de septiembre de 2011 la representación procesal del Gobierno de la Generalitat Valenciana formuló sus alegaciones interesando la desestimación del recurso interpuesto. Mediante otrosí suplica el levantamiento de la suspensión inicialmente acordada por las razones que, sintéticamente,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en primer lugar que la procedencia del levantamiento de la suspensión ha de decidirse atendiendo a varios criterios: la presunción de legitimidad de la que gozan las normas con fuerza de ley; la necesidad de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Así, la suspensión, como excepción a la regla general del mantenimiento de la eficacia que toda norma posee, requiere que el Gobierno de la Nación, a quien se debe la iniciativa, aporte y razone con detalle los argumentos que la justifiquen, circunstancia que no concurre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efectos de justificar que no se produce ningún perjuicio irreparable o de difícil reparación para el interés público, analiza el contenido del art. 5 de la Ley 5/2011 en relación con lo dispuesto en el art. 92 del Código civil (CC). Señala que el carácter dispositivo de la mayor parte de los preceptos de la Ley 5/2011 permite con cierta facilidad el restablecimiento de las situaciones jurídicas en la hipótesis de una Sentencia anulatoria a la par que el mantenimiento de la suspensión entra en contravención con la presunción de constitucionalidad de la que ha de gozar la ley autonómica y con el propio carácter excepcional de la medida de suspensión que determina que su prolongación únicamente proceda cuando resulte especialmente justificada. Destaca que con la regulación de la ley valenciana la custodia compartida solamente se producirá, en el caso de que no exista acuerdo entre los progenitores, si el Juez valora, atendiendo a las circunstancias concurrentes, que no se perjudica al interés del menor pudiendo, en cualquier caso, modificar la situación jurídica previamente establecida. Por ello, el Director General de la Abogacía General de la Generalitat Valenciana entiende que no hay perjuicio irreparable alguno con la situación de custodia compartida, en caso de ausencia de pacto entre los progenitores, en cuanto que la última decisión corresponde a la autoridad judicial que, a tales efectos, habrá de tener en cuenta la opinión del menor y la del Ministerio Fiscal. La aplicación general de la custodia compartida, sin pacto de los progenitores es un efecto que la ley dispone pero no hace derivar automáticamente de manera que, conforme al contenido de la norma discutida, que las situaciones que se creen no serán nunca irreversibles y pueden estar sujetas a cambios derivados de las circunstancias concurrentes. Así, tanto en la ley valenciana como en el sistema del Código civil, el ejercicio de la custodia compartida se produce si los padres la solicitan pudiendo la autoridad judicial, en defecto de acuerdo, acordar dicha custodia compartida si estima que es la forma que protege adecuadamente el interés superior del menor. De esta manera no hay imposición alguna de una determinada situación jurídica puesto que, además, el resultado será siempre revisable y, de hecho, puede estar sometido a revisiones periódicas, conforme dispone el art. 5.5 de la Ley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representación procesal del Gobierno de la Generalitat Valenciana entiende que no puede probarse la producción de perjuicio irreparable alguno resaltando que la medida de prolongación de la suspensión es una medida que, dado su carácter excepcional, ha de tomarse con sumo cuidado pues sólo así se evita el indebido bloqueo del ejercicio de las competencias autonómicas. Así, estima que si el Gobierno no puede acreditar la existencia de perjuicios concretos el resultado debe ser el alzamiento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descartando, con cita de la doctrina del ATC 12/1992, de 23 de enero, que la suspensión pueda ser fundada en la presunta inseguridad jurídica dimanante de la pendencia de un recurso de inconstitucionalidad, de la coexistencia del ordenamiento estatal con los autonómicos o de la reproducción de preceptos de la legislación estatal.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virtud de lo anteriormente expuesto, la representación procesal del Gobierno Valenciano solicita el levantamiento de la medida de suspensión y el pleno restablecimiento de la vigencia de la Ley 5/2011.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 las Cortes Valencianas formuló sus alegaciones mediante escrito registrado el 3 de octubre de 2011 interesando la desestimación del recurso. Mediante otrosí solicita el levantamiento de la suspensión que pesa sobre la Ley 5/2001 por las razones que se recogen a continuación.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señalando que el levantamiento de la suspensión debe decidirse atendiendo a la presunción de legitimidad de las normas, en especial las que tienen fuerza de ley teniendo presente la necesidad de ponderar, de un lado, los intereses que se encuentren implicados, tanto el general y público como el particular o privado de las personas afectadas, y, de otro, los perjuicios de imposible o difícil reparación que se irrogan del mantenimiento o levantamiento de la suspensión. Igualmente, destaca que esta valoración debe efectuarse mediante el examen de las situaciones de hecho creadas y sin considerar, en principio, la viabilidad de las pretensiones que se formulan en la demanda, así como que es al Gobierno de la Nación a quien corresponde aportar los argumentos que justifiquen su mantenimiento, pues en caso de no hacerlo procederá el levantamiento de la suspensión.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Indica a continuación que en la demanda formulada no se justifica en modo alguno la necesidad de suspensión por lo que por esa razón procedería su levantamiento. Por otra parte el Letrado de las Cortes Valencianas indica que el levantamiento de la suspensión no supone en modo alguno un perjuicio de imposible o difícil reparación pues el objeto de la ley recurrida es establecer un régimen equitativo de las relaciones con los hijos de los progenitores mediante el denominado “pacto de convivencia” y solamente en el supuesto de que no fuera posible alcanzarlo se establece como criterio prevalente la convivencia con ambos progenitores. La aplicación de este régimen de custodia compartida únicamente se produce, a falta de pacto, con la decisión judicial previa audiencia al Ministerio Fiscal. De esta manera la custodia compartida se aplica como criterio prevalente pero no en todos los supuestos sin que haya una aplicación automática de esa forma de custodia. Tampoco la denominada custodia compartida es una fórmula de convivencia extraña o ignorada en el régimen común del Código civil pues su art. 92 lo contempla como una posibilidad, por lo que la única diferencia es que en la norma valenciana es de aplicación prevalente sin excluir otras opciones. Por otra parte, el Letrado de la Cámara autonómica resalta que el régimen regulador que se establece en los arts. 4 a 7 de la Ley 5/2011 contempla una serie de medidas destinadas a garantizar el bienestar de los menores, citando al respecto el art. 5.3 que establece un conjunto de factores que la autoridad judicial ha de ponderar para fijar el régimen de convivencia con cada progenitor, los cuales alcanzan una mayor precisión que las establecidas para las medidas recogidas en el Código civil.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concluye que la aplicación de la ley recurrida y de este régimen de convivencia de custodia compartida como prevalente en ningún caso podría suponer perjuicios de imposible o difícil reparación ya que si ello fuera así en el mismo caso se encontrarían los menores cuyos progenitores no conviven con ellos sometidos al régimen establecido en el Código civil o en las Comunidades Autónomas que posean leyes de características semejantes a ésta y que no han sido objeto de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Pleno, por providencia de 6 de octubre de 2011, acordó incorporar a los autos los escritos de alegaciones formulados por el Letrado de las Cortes Valencianas y el Director General de la Abogacía General de la Generalitat Valenciana y, en cuanto a la solicitud que formulan sobre el levantamiento de la suspensión de la Ley 5/2011, objeto del recurso, oír al Abogado del Estado para que, en el plazo de cinco días, exponga lo que estime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con fecha 18 de octubre, evacuó el trámite conferido interesando que se acuerde el mantenimiento de la suspensión, por los motivos que, sintéticamente,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105/2010, de 29 de julio, FJ 2, con cita de otros).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Así estima indudable que lo que habrá de dilucidarse es si la hipótesis que formula, respecto a la probabilidad de los perjuicios que ocasionaría la aplicación de la norma recurrida, está lo suficientemente 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concretos perjuicios que ocasionaría el levantamiento de la suspensión alude, en primer lugar, a que la Ley valenciana 5/2011 sería un segundo pilar en la elaboración de un Código civil valenciano, que seguiría la senda ya iniciada por la Ley 10/2007, de 20 de marzo, de régimen económico matrimonial valenciano, segundo paso con el que se pretende la declarada voluntad de desplazar completamente al Código civil en esa Comunidad Autónoma, con clara infracción del art. 149.1.8 CE. De esta manera el legislador valenciano acomete la regulación de lo que en derecho de familia se denominan efectos comunes a la nulidad, separación y divorcio, previstos en los arts. 90 y ss. CC, los cuales quedarían reducidos al papel de mero Derecho supletorio. Destaca, como novedad de la norma impugnada, el establecimiento como régimen legal en defecto de pacto de lo que comúnmente se conoce como custodia compartida que se instaura por el legislador autonómico con la justificación de “subrayar la relevancia del contacto cotidiano y del roce frecuente entre los progenitores y sus hijos e hijas menores, como único cauce que posibilita el crecimiento del vínculo afectivo familiar y sienta las bases de un adecuado desarrollo psíquico y emocional de cada menor”, régimen que se aparta notoriamente del fijado por el Código civil en su art. 92, el cual solamente permite al Juez, excepcionalmente, acordar la guarda o custodia compartida, sin acuerdo de los progenitores, previo informe favorable del Fiscal y “sólo cuando de esta forma se protege adecuadamente el interés superior del menor”. En suma, el Abogado del Estado considera que la Ley 5/2011, careciendo de título competencial, regula determinados aspectos de las relaciones paterno-filiales con un contenido claramente divergente a lo previsto en la legislación común.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Descendiendo ya a los específicos perjuicios que ocasionaría la inmediata vigencia de los arts. 5 y 6 de la Ley 5/2011 alude a las diferencias entre el régimen del Código civil y el resultante de los arts. 3 b) y 5 de la ley autonómica. Diferencias que cifra en que, en el régimen estatal, el Juez, en caso de divergencia entre los progenitores, sólo excepcionalmente puede “con informe favorable del Ministerio Fiscal”, acordar “la guarda y custodia compartida fundamentándola en que sólo de esta forma se protege adecuadamente el interés superior del menor”. Por el contrario la Ley 5/2011 establece que ”a falta de pacto entre los progenitores” el Juez “como regla general, atribuirá a ambos progenitores, de manera compartida, el régimen de convivencia con los hijos e hijas menores de edad, sin que sea obstáculo para ello la oposición de uno de los progenitores o las malas relaciones entre ellos”, régimen que se prevé, incluso, para los menores lactantes, respecto de los que el Juez podrá, en su caso, “establecer un régimen de convivencia provisional, de menor extensión, acorde con las necesidades del niño o de la niña, que deberá ser progresivamente ampliado a instancia de cualquiera de los progenitores”. En este sentido, el Abogado del Estado resalta que la legislación valenciana no ofrece dudas cuando define el régimen de convivencia compartida como aquel “sistema dirigido a regular y organizar la cohabitación de los progenitores que no convivan entre sí con sus hijos e hijas menores, y caracterizado por una distribución igualitaria y racional del tiempo de cohabitación de cada uno de los progenitores con sus hijos e hijas menores, acordado voluntariamente entre aquéllos, o en su defecto por decisión judicial”. Añade el art. 3.b) la excepcionalidad de lo que denomina régimen de convivencia individual que define como “la atribución de la cohabitación con los hijos e hijas menores a uno solo de los progenitores de manera individual, sin perjuicio del derecho del otro progenitor a disfrutar de un régimen de relaciones con sus hijos o hijas menores adaptado a las circunstancias del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según el Abogado del Estado, el Código civil, atendiendo a la fragilidad de los intereses en juego relativos a la estabilidad afectiva y psicológica de los menores, trata, prudentemente, de ensayar el régimen de custodia compartida limitándolo a los supuestos en que exista acuerdo entre los progenitores. Parte así el legislador estatal de la razonable base de que un régimen como el de custodia compartida requiere la leal colaboración de los progenitores. El legislador valenciano, por el contrario, da prioridad al régimen de custodia compartida y establece que sólo excepcionalmente podrá el Juez “otorgar a uno solo de los progenitores el régimen de convivencia con los hijos e hijas menores cuando lo considere necesario para garantizar su interés superior, y a la vista de los informes sociales, médicos, psicológicos y demás que procedan. En ese supuesto, deberá establecer un régimen de relaciones familiares adaptado a las circunstancias propias del caso, que garantice el contacto de los hijos e hijas menores con ambos progenitores”. Alude seguidamente a la falta de consenso en la doctrina científica sobre la incidencia en la salud psicológica de los menores del peregrinaje entre domicilios al que, a su entender, aboca la aplicación del régimen valenciano estimando que este régimen presenta indudables riesgos para la estabilidad psicológica del niño en los casos en los que no resulta apoyado por una mutua colaboración de los progenitores. Este criterio de la irreversibilidad de los perjuicios, que el Tribunal ha aplicado en relación con la salvaguarda del interés ecológico, ha de ser aplicado con mayor motivo al interés del menor que ha de merecer esa misma calificación de preferente, dada su fragilidad y la irreparabilidad de los perjuicios que puede ocasionársele en caso de perturbación. En este sentido alude a que el interés superior del menor exige el mantenimiento del statu quo material y espiritual del menor, destacando la incidencia que cualquier alteración del mismo puede tener en su personalidad y futuro, en especial los cambios de residencia o de custodia. Así considera el Abogado del Estado que el régimen de custodia compartida supone la máxima inestabilidad para el menor, que resulta parcialmente paliada en los casos en los que existe una leal colaboración entre los progenitores que acuerdan un régimen similar de convivencia y educación de los menores mientras que alcanza niveles intolerables cuando ese mínimo consenso no existe. De esta forma estima el Abogado del Estado que en esa situación de crisis para el menor el legislador estatal ha optado por limitar los daños de la eventual inestabilidad a aquellos casos en los que existe colaboración leal en la custodia del menor, expresivo de un menor grado de conflicto exigiendo, en caso contrario, el informe favorable del Ministerio Fiscal como garantía de la defensa del interés del menor. Estima, en consecuencia el Abogado del Estado, que el normal desenvolvimiento de la Ley 5/2011 habrá de suponer que, en situaciones de conflicto entre los progenitores, se someta al menor a una grave inestabilidad y a una fuerte tensión emocional y psicológica con perjuicios para su salud afectiva difícilmente evaluables a priori pero ciertamente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Estima el Abogado del Estado que estos razonamientos son trasladables al art. 6.1 cuando, al regular la atribución del uso de la vivienda habitual, introduce factores que distorsionan la prevalente atención al interés del menor pues el legislador valenciano dispone que “la preferencia en el uso de la vivienda familiar se atribuirá en función de lo que sea más conveniente para los hijos e hijas menores y, siempre que fuere compatible con ello, al progenitor que tuviera objetivamente mayores dificultades de acceso a otra vivienda”, introduciendo así un factor distorsionador del preferente interés del menor, como sería la dificultad de acceder a la vivienda de uno de los progenitores, concepto jurídico indeterminado cuya compatibilidad con el interés del menor queda al arbitrio del Juez y que viene determinado porque para el legislador valenciano el régimen general es el de custodia compartida de manera que sólo tiene sentido introducir el criterio antes aludido si efectivamente se mantiene la vigencia de la prioridad del régimen de custodia compartida. De esta manera resulta que el mantenimiento de la suspensión de la vigencia del art. 5 ha de conllevar necesariamente la del inciso citado del art. 6. Tampoco el resto del art. 6.1 está exento de ocasionar perjuicios pues, siendo el régimen general el de custodia compartida y teniendo en cuenta que resultará difícil que sea el interés del menor el que decante la atribución del uso de la vivienda, para el Abogado del Estado es lógico suponer que se otorgará el uso de la vivienda al que quede en peor situación patrimonial, el cual, sin embargo habrá de abonar al otro una compensación por el uso de la vivienda adjudicada. Este régimen no solo ha de ocasionar perjuicios para el interés del menor sino también para el del progenitor que se halle en peor situación económica tras la ruptura, perjuicios ambos difícilmente reparables y que habrán de colocar en una grave situación a los progenitores que se encuentren en la posición más débil.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 los perjuicios generales que ocasionaría el levantamiento de la suspensión de la vigencia de la Ley 5/2011 el Abogado del Estado, remitiéndose a un informe que adjunta de la Secretaría General Técnica del Ministerio de Justicia apunta, en primer lugar, al bloqueo de la competencia estatal sobre legislación civil que supone la ejecución por la Comunidad Valenciana del objetivo de crear un verdadero Código civil, bloqueo que alcanzaría ya la gravedad que se apreció en el ATC 336/2005, de 15 de septiembre, por cuanto se permitiría a la Comunidad Valenciana continuar con un proceso de codificación del Derecho civil tendente al establecimiento de un sistema jurídico civil completo y autónomo tal y como se anunciaba ya en la Ley de la Comunidad Valenciana 10/2007, de 20 de marzo, de régimen económico matrimonial valenciano. El Abogado del Estado señala que dicha alegación se desestimó en el ATC 156/2008, de 12 de junio, si bien considera que dicha decisión podría ser reconsiderada atendiendo tanto a que el total desplazamiento en Valencia del Código civil no parece ya una simple hipótesis como, a su juicio, ya señalaba acertadamente el ATC 336/2005, según el cual cuando el bloqueo de la competencia adquiere una extraordinaria intensidad, ese bloqueo, en sí mismo, constituye un perjuicio para los intereses públicos de indudable relevancia para la resolución del incidente de suspensión. A juicio del Abogado del Estado eso es lo que ocurre en el presente caso, pues el legislador valenciano ha emprendido el camino de desterrar de esa Comunidad Autónoma todo vestigio de la competencia legislativa estatal en materia de Derecho civil de manera que la excepción al orden constitucional de distribución de competencias adquiere tal gravedad que resulta trasladable la doctrina del ATC 336/2005 por lo que procede “en fase de justicia cautelar y aun sin anticipar la resolución de fondo que en su día resulte procedente, pronunciarse claramente a favor del mantenimiento de la suspensión, inclusive por fuerza del principio de seguridad jurídica que, como en otros casos (AATC 5/2003, FJ 7; y 71/2003, FJ 4), debemos considerar se encuentra, también aquí y excepcionalmente, presente”.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plantea el Abogado del Estado los perjuicios a la seguridad jurídica que supondría la vigencia de la ley impugnada entendiendo de aplicación la doctrina del ATC 105/2010, de 29 de julio, dado que en este caso van a crearse situaciones jurídicas de difícil o imposible reversión en caso de que el recurso prospere.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alude a la existencia de votos particulares al mantenimiento de la doctrina de los perjuicios (por todos, los formulados en el ATC 349/2003, de 29 de octubre) en los que se pone de manifiesto que la teoría de la irreparabilidad de los perjuicios no resulta de gran utilidad en un proceso abstracto que ha de decidir sobre la constitucionalidad de una ley de forma que, para una mejor garantía de la supremacía constitucional, en casos como en el de este incidente no puede perderse de vista la llamada apariencia de buen derecho. Ello no ha de suponer, a su juicio, prejuzgar la cuestión de fondo, pues señala que han existido ocasiones en las que la cuestión sustantiva, sin ser objeto de un análisis frontal, sí ha sido tenida en consideración en este incidente, en especial en los casos de manifiesta ausencia de cobertura competencial o de bloqueo de la competencia estatal (con cita de los AATC 243/1993, de 13 de julio, 78/1987, de 22 de enero, o 336/2005, de 15 de septiembre). Lo anterior resultaría de aplicación en un caso como el planteado en el que existe ya una consolidada doctrina constitucional respecto a la interpretación del art. 149.1.8 CE (por todas STC 31/2010, de 28 de junio, FJ 76, y en relación con la Comunidad Valenciana STC 121/1992, de 28 de septiembre). En particular, de acuerdo con ésta última, inevitable presupuesto de la constitucionalidad de la Ley 5/2011 resultaría la acreditación de la subsistencia a día de hoy de costumbres en materia de relaciones paterno-filiales derivadas de los antiguos fueros con las que los preceptos recurridos tengan la necesaria conexión material, lo que no se ha demostrado en el curso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Abogado del Estado alega la inexistencia de perjuicio alguno para los intereses públicos y privados derivado del mantenimiento de la suspensión de la Ley 5/2011.</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 la Ley de la Comunidad Valenciana 5/2011, de 1 de abril, de relaciones familiares de hijos e hijas cuyos progenitores no conviven, norma cuya vigencia se encuentra suspendida en su aplicación como consecuencia de la invocación del art. 161.2 CE al promoverse recurso de inconstitucionalidad contra la misma por el Presidente del Gobierno.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citada Ley 5/2011 se dicta, de acuerdo con su disposición final primera, al amparo de la competencia que el artículo 49.1.2 a) del Estatuto de Autonomía de la Comunidad Valenciana atribuye a la Generalitat, para conservar, modificar y desarrollar el Derecho foral civil valenciano, recuperando su contenido en lo concerniente al régimen económico matrimonial en plena armonía con la Constitución y la realidad social y económica valenciana, tal y como preceptúan el artículo 7 y la disposición transitoria tercera del Estatuto de Autonomía en la redacción dada al mismo por la Ley Orgánica 1/2006, de 10 de abril. De hecho, el recurso promovido en nombre del Presidente del Gobierno es de carácter netamente competencial pues se fundamenta en la extralimitación de la competencia autonómica derivada de las previsiones de los citados preceptos del Estatuto de Autonomía de la Comunidad Valenciana, en la redacción que a los mismos ha dado la Ley Orgánica 1/2006, de 10 de abril, y la consiguiente vulneración de la competencia estatal en materia de Derecho civil del art. 149.1.8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representaciones procesales del Gobierno y de las Cortes Valencianas han solicitado el levantamiento anticipado de la suspensión de la norma impugnada sin esperar al transcurso de los cinco meses previstos en el art. 161.2 CE. Tal solicitud resulta procedente,  pues los cinco meses a los que hace referencia el citado precepto constitucional son, precisamente, el límite máximo previsto para la suspensión automática, incluyéndose entre las potestades de este Tribunal la de ratificar o levantar la suspensión dentro de ese plazo (al respecto, ATC 108/2011, de 5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24/2011, de 3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ha quedado reflejado con más detalle en los antecedentes el Abogado del Estado asocia al levantamiento de la suspensión que pesa sobre la Ley 5/2011 la producción de perjuicios en dos ámbitos distintos. Por un lado, aquellos que califica como perjuicios generales que ocasionaría el levantamiento de la suspensión de la vigencia de la totalidad de la Ley 5/2001 y, más específicamente, los vinculados a la vigencia de los arts. 3 b), 5 y 6 de la norma impugnada a los que aludiremos posteriormente.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perjuicios generales el Abogado del Estado, con apoyo en un informe de la Secretaría General Técnica del Ministerio de Justicia, cita, en primer lugar, el bloqueo de la competencia estatal sobre legislación civil ya que, caso de alzarse la suspensión, entiende que se permitirá a la Comunidad Valenciana continuar con un proceso de codificación del Derecho civil tendente al establecimiento de un sistema jurídico civil completo y autónomo en el sentido que ya se anunciaba en la exposición de motivos de la Ley 10/2007, de 20 de marzo, de régimen económico matrimonial valenciano. En tal sentido considera que no resulta de aplicación lo decidido respecto a la última norma citada en el ATC 156/2008, de 12 de junio, FJ 8, en el que se desestimó tal alegación. Por el contrario defiende la aplicación de la doctrina del ATC 336/2005, de 15 de septiembre, FJ 5, en el que se apreció que la capacidad de bloqueo de la norma autonómica cuestionada respecto del ejercicio de competencias atribuidas al Estado por el bloque de constitucionalidad excedía de las situaciones normales de controversia competencial, por cuanto incluso podría poner en cuestión, hasta eliminarla o desvirtuarla, una competencia estatal claramente reconocida por la Norma fundamental con el consiguiente perjuicio actual y directo al interés general. En suma, a juicio del Abogado del Estado, el bloqueo de la competencia estatal en materia de Derecho civil adquiere ya en este punto la intensidad necesaria que justificaría la suspensión de la vigencia de la Ley 5/2011. En segundo lugar estima que la aplicación de la Ley 5/2011 podría conducir a la creación de situaciones de hecho y de derecho en las relaciones paterno-filiales de imposible o difícil reversión en el caso de que el recurso prosperase, por lo que la quiebra de la seguridad jurídica que se produciría justifica en este caso el mantenimiento de la suspensión. Finalmente, en tercer lugar, alude a la necesidad de que, para la resolución de este incidente cautelar, sea tomada en consideración, en ciertos casos como serían, por ejemplo, las situaciones de manifiesta ausencia de cobertura competencial, de reproducción de preceptos ya declarados inconstitucionales o de bloqueo de las competencias estatales, la denominada apariencia de buen derecho que se deriva del fondo del asunto, de tal forma que tal circunstancia fuera tenida en cuenta en casos en los que las normas estatales se verían desplazadas por la aplicación de la autonómica ahora suspendida, la cual ha sido dictada, a su juicio, sin cobertura competencial alguna, resultando, por ello, claramente inconstitucional, sin que, por dicha razón, debiera imponerse a esa parte procesal la plena justificación de los perjuicios que ocasionaría para los intereses públicos o privados la aplicación de la norma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esa misma perspectiva general el Director General de la Abogacía General de la Generalitat Valenciana ha solicitado el levantamiento de la suspensión señalando la ausencia de perjuicio irreparable alguno vinculado a la vigencia y aplicación de la ley. Así, estima que la Ley 5/2011 dispone pero en ningún caso impone la custodia compartida ya que, en todo caso, la autoridad judicial ha de decidir en función del interés del menor pudiendo modificar en cualquier momento su inicial decisión. En un sentido similar se ha manifestado el Letrado de las Cortes Valencianas que ha señalado la inexistencia de perjuicios de imposible o difícil reparación derivados de la aplicación de la Ley 5/2011 dado que la custodia compartida es un criterio prevalente pero de ello no se deriva su aplicación automática sino que la Ley 5/2011 permite a la autoridad judicial que tome en cuenta otros factores en el momento de adoptar su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expuestas las posiciones de las partes comenzaremos con la valoración de lo que el Abogado del Estado ha denominado perjuicios generales derivados de la vigencia y aplicación de la Ley 5/2011, a los que acabamos de hacer referencia, para posteriormente hacer referencia y examinar los perjuicios que vincula a la aplicación de concretos preceptos de la Ley 5/2011.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las alegaciones relativas al denunciado proceso de codificación del Derecho civil valenciano procede recordar, en primer término, lo que, en respuesta a similar alegación, señalamos en el ATC 156/2008, FJ 8, cuando indicamos que “[e]s evidente que dicha apreciación carece de la entidad suficiente para prosperar a los exclusivos efectos de este incidente, pues, por un lado, tiene un carácter meramente hipotético y resulta completamente ajena, no ya a la perspectiva propia de este incidente, que, como venimos insistiendo, es la de los perjuicios que se producirían si se levantara la suspensión de los preceptos implicados, sino, incluso, a este proceso jurisdiccional. Por otro lado resulta evidente que, en la eventualidad de que la declaración de la exposición de motivos de la ley impugnada fuera puesta en práctica de un modo que fuera estimado contrario al orden constitucional, siempre resultaría posible el ejercicio, por los órganos legitimados para ello, de las acciones a tal efecto previstas en la Constitución española y en nuestra propia Ley Orgánica”. En este sentido, es de apreciar que las críticas formuladas por el Abogado del Estado al pretendido ejercicio por el legislador valenciano del poder de codificar el Derecho civil remiten más bien al juicio sobre la validez constitucional de su actuación a la luz del orden constitucional y estatutario de distribución de competencias lo cual supone un análisis del fondo del asunto que resulta vedado en incidentes de esta naturaleza. Igualmente hemos de descartar la procedencia de aplicar al presente caso la solución adoptada en el ATC 336/2005, de 15 de septiembre. En dicho Auto resolvimos mantener la suspensión del art. único de la Ley de la Comunidad Autónoma de Castilla y León 8/2004, de 22 de diciembre, por la que se modifica la Ley 12/2002, de 11 de julio, del patrimonio cultural de Castilla y León, al apreciar que la capacidad de bloqueo de esa norma autonómica respecto del ejercicio de competencias atribuidas al Estado por el bloque de constitucionalidad excedía de las situaciones normales de controversia competencial, por cuanto incluso podría poner en cuestión, hasta eliminarla o desvirtuarla, una competencia estatal claramente reconocida por la Norma Fundamental con el consiguiente perjuicio actual y directo al interés general. Sin embargo, en este caso, no es posible llegar a la misma conclusión puesto que allí lo que se obstaculizaba era el “ejercicio de competencias palmariamente reconocidas a la Administración estatal por el bloque de constitucionalidad”, aspecto distinto del aquí debatido ya que las tachas opuestas en el recurso frente a la ley impugnada no afectan tanto a su contenido dispositivo cuanto a su objeto de regulación, que se dice ajeno a las competencias de la Comunidad Autónoma, disputa que remite directamente a la controversia competencial trabada en el proceso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perjuicios que padecería la seguridad jurídica de levantarse la suspensión de los preceptos impugnados ya tenemos declarado (por todos ATC 107/2011, de 5 de julio, FJ 5) que las divergencias de carácter competencial no pueden, por ese solo hecho, llevar irremisiblemente en los procesos en los que se ventilen cuestiones de este tipo a la suspensión de la norma autonómica, pues ello conduciría siempre al mantenimiento de la suspensión de las normas autonómicas impugnadas cuando de lo que se trata en este incidente es de, prescindiendo de la existencia de la contradicción entre la norma estatal y la autonómica, alegar y acreditar la irreparabilidad de los perjuicios que se derivarían de la vigencia y aplicación de la ley autonómica. Como ya señalamos en el citado ATC 156/2008, FJ 6, “[c]on la argumentación utilizada por el Abogado del Estado bastaría con que la norma autonómica impugnada en el proceso principal contradijera lo dispuesto en otra estatal no cuestionada constitucionalmente para que resultase procedente el mantenimiento de la suspensión de la primera, pues las diferenciaciones que el Abogado del Estado menciona obedecen a la existencia de dos normas diferentes, duplicidad que no conlleva, por si misma, perjuicios que determinen la decisión relativa al mantenimiento o levantamiento de la suspensión acordada, pues de lo que se trata en este incidente es de demostrar que, más allá de la existencia de un conflicto entre dos normas, aparecen concretos perjuicios irreparables derivados de la vigencia y aplicación de la norma autonómica durante la pendencia del proceso. Por ello, no se aprecia en este caso que el levantamiento de la suspensión lleve consigo un daño o perjuicio especial de la seguridad jurídica sino la inevitable incidencia sobre la misma propia de estas situaciones, sin que de dicha afectación se sigan perjuicios relevantes para los intereses generales o particulares”. Además, la propia irreversibilidad de las situaciones jurídicas creadas al amparo de la Ley 5/2011, en las que el Abogado del Estado funda su alegación de suspensión, puede ser legítimamente puesta en duda teniendo en cuenta que, de conformidad con el art. 5.5 de la Ley 5/2011, la autoridad judicial tiene la potestad de modificar el régimen de convivencia inicialmente decidido en atención a las circunstancias que concurran en cada caso concreto. Tampoco ha de resultar aquí de aplicación el criterio del ATC 105/2010, de 29 de julio, pues, amén de que el mantenimiento de la suspensión por fuerza del principio de seguridad jurídica reviste en nuestra doctrina un carácter ciertamente excepcional, tampoco estamos ante un asunto referido directamente a instituciones creadas para garantizar la seguridad jurídica preventiva en el tráfico jurídico-privado como allí acontecía.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procede también descartar el alegato relativo a la necesidad de tener en cuenta la apariencia de buen derecho en relación con la manifiesta falta de cobertura competencial de la norma cuestionada pues, como ya señalamos en el ATC 156/2008, de 12 de junio, FJ 5, “resulta ser una cuestión vinculada a la pretensión de fondo de este proceso constitucional, que no es otra que la de interpretar, conforme al artículo 149.1.8 CE, si la Comunidad Valenciana tiene competencias para dictar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Descartada la producción de los perjuicios que el Abogado del Estado achaca al levantamiento de la suspensión de la totalidad de la Ley 5/2011, hemos ahora de analizar los que vincula específicamente a la vigencia de sus arts. 3 b), 5 y 6.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dos primeros el Abogado del Estado, contraponiendo su regulación con el art. 92 del Código civil (CC), estima que la opción del legislador valenciano por dar prioridad al régimen de la denominada custodia compartida, aún en los casos en los que no exista acuerdo entre los progenitores, supone colocar en primer término el interés de éstos en detrimento del superior de los menores afectados. Interés que se vería mejor salvaguardado en los supuestos en los que exista acuerdo entre los progenitores tal y como sucede en el art. 92 CC, acuerdo que el Abogado del Estado entiende expresión de la existencia de una leal colaboración entre ellos, la cual contribuiría a reducir el riesgo que para la estabilidad y bienestar del menor supone todo proceso de ruptura de la convivencia entre sus progenitores. Por ello estima que la opción de la Ley 5/2011 por la aplicación del régimen de custodia compartida, aun en situaciones de conflicto entre los progenitores, somete a los menores a “una grave inestabilidad y a una fuerte tensión emocional y psicológica, con perjuicios para su salud afectiva, difícilmente evaluables a priori, pero ciertamente irreparables”. Ello ha de determinar el mantenimiento de la suspensión de la vigencia del art. 5 así como del carácter excepcional con que el art. 3 b) califica al régimen de convivencia individual con uno de los progenitores. Por su parte, la suspensión del art. 6 ha de mantenerse, conforme alega el Abogado del Estado, además de por su directa vinculación a lo dispuesto en el art. 5, por cuanto, al atribuir el uso de la vivienda, siempre que fuera compatible con la conveniencia de los hijos menores, al progenitor que tuviera objetivamente mayores dificultades para el acceso a otra vivienda con la correlativa obligación de compensar al otro, va a ocasionar perjuicios para el interés tanto del menor como del progenitor que se halle en una peor situación económica tras la ruptura.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Como ha quedado expuesto, los perjuicios alegados por el Abogado del Estado respecto a los arts. 3 b) y 5 se refieren específicamente al supuesto, previsto en el art. 5.1 de la Ley 5/2011, en el que, en ausencia de pacto de convivencia familiar entre los progenitores —otorgado, conforme al art. 4, para acordar los términos de la relación con sus hijos—, la autoridad judicial, con la previa audiencia del Ministerio Fiscal, deba decidir, entre otras cuestiones, acerca de la relativa al “régimen de convivencia y/o de relaciones con los hijos e hijas menores para garantizar su contacto con ambos progenitores” [art. 4.2 a)]. Para dichas situaciones el apartado 2 del art. 5, precepto en el que el Abogado del Estado centra los perjuicios que aduce, dispone que la autoridad judicial “[c]omo regla general, atribuirá a ambos progenitores, de manera compartida, el régimen de convivencia con los hijos e hijas menores de edad, sin que sea obstáculo para ello la oposición de uno de los progenitores o las malas relaciones entre ellos.” Dicho régimen de convivencia compartida se define en el art. 3 a) de la Ley 5/2011 como “el sistema dirigido a regular y organizar la cohabitación de los progenitores que no convivan entre sí con sus hijos e hijas menores, y caracterizado por una distribución igualitaria y racional del tiempo de cohabitación de cada uno de los progenitores con sus hijos e hijas menores, acordado voluntariamente entre aquéllos, o en su defecto por decisión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Centrado en tales términos el debate no es posible compartir el parecer del Abogado del Estado respecto a la concurrencia de los perjuicios alegados, los cuales, por lo demás, también serían predicables de la regulación estatal en la medida en que la misma, conforme al art. 92.8 CC, también permite al Juez, con el informe favorable del Ministerio Fiscal, decidir la aplicación del ejercicio compartido de la guarda y custodia de los hijos en defecto de acuerdo de los padres cuando estime que “solo de esta forma se protege adecuadamente el interés del menor”. Así es de apreciar que la aducida afectación a la estabilidad de los menores en los casos de falta de acuerdo de los padres respecto a la aplicación del régimen de custodia compartida se presenta carente de soporte o justificación documental alguno lo que hace que, como aconteció en el ATC 96/2011, de 21 de junio, FJ 6, debamos considerar de aplicación aquí nuestra doctrina, según la cual las alegaciones de las partes en este incidente no deben entenderse “sólo como un trámite de carácter formulario o un derecho que a las partes se confiere y que éstas pueden ejercitar como estimen oportuno, sino que ha de constituir carga que se les impone, especialmente al promotor del conflicto, ... de suerte que si ello no se efectúa o las razones que esgrime no son convincentes, habrá de desaparecer la suspensión excepcional creada por el automatismo” (ATC 75/2010, de 30 de junio, FJ 7, y los allí citados). Así, no se han aportado datos que permitan inferir que la aplicación de los preceptos impugnados —que suponen el establecimiento por decisión judicial de la custodia compartida en defecto de acuerdo de los progenitores al respecto, previa ponderación de las circunstancias concurrentes en cada caso— vaya a producir, desde el punto de vista cautelar que ahora hemos de adoptar y huyendo de toda consideración sobre el fondo del asunto, los invocados perjuicios sobre los menores de manera que hubieran de prevalecer sobre la presunción de constitucionalidad de la que gozan las normas discutidas y el interés general que se vincula a su aplicación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como acabamos de señalar y apuntan también las representaciones procesales del Gobierno de la Generalitat Valenciana y de las Cortes Valencianas, resulta que en todo caso la norma atribuye al Juez la ponderación necesaria para establecer el régimen de convivencia que estime más idóneo para la garantía del interés superior de los hijos atendiendo para ello, además de al criterio del Ministerio Fiscal, a una serie de factores que enumera el art. 5.3. Factores relativos a la edad de los hijos y su propia opinión al respecto, cuando tuvieran la madurez suficiente y, en todo caso, cuando hayan cumplido 12 años; la dedicación pasada a la familia, el tiempo dedicado a la crianza y educación de los hijos e hijas menores y la capacidad de cada progenitor; los informes sociales, médicos, psicológicos y demás que procedan; los supuestos de especial arraigo social, escolar o familiar de los hijos e hijas menores; las posibilidades de conciliación de la vida familiar y laboral de los progenitores; la disponibilidad de cada uno de ellos para mantener un trato directo con cada hijo o hija menor de edad y, finalmente, cualquier otra circunstancia relevante. Por otra parte, de la norma autonómica no resulta la aplicación automática de la denominada custodia compartida siendo posible, conforme al art. 5.4, que la autoridad judicial pueda “otorgar a uno solo de los progenitores el régimen de convivencia con los hijos e hijas menores cuando lo considere necesario para garantizar su interés superior, y a la vista de los informes sociales, médicos, psicológicos y demás que procedan”, régimen de convivencia susceptible, en los términos del art. 5.5 de la propia Ley 5/2011, tanto de ser sometido a controles periódicos por la autoridad judicial como de ser modificado por la misma atendiendo a los aludidos informes y a las circunstancias de cada caso concreto. En definitiva, la intervención de la autoridad judicial, a la que corresponderá garantizar la adecuada protección del interés del menor en los términos que resultan del art. 5 apartados 3, 4 y 5, permite apreciar que de la aplicación de los preceptos cuestionados no van a derivarse perjuicios que pudieran ser calificados como graves o irreparables.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anterior resulta que, con independencia del juicio de fondo que merezcan los arts 3 b) y 5 de la Ley 5/2011, los perjuicios que el Abogado del Estado anuda a su efectiva aplicación no están debidamente concretados y mucho menos acreditada la gravedad e irreversibilidad de los mismos, por lo que no resulta suficiente su invocación para aconsejar el mantenimiento de la suspensión hasta que nos pronunciemos sobre el fondo de la controversia de la vigencia de unas normas dotadas, como producto de una Cámara legislativa, de la presunción de constitucionalidad de la que goza la ley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cuanto al art. 6, los efectos perjudiciales alegados por el Abogado del Estado se refieren al apartado 1 que señala que “[a] falta de pacto entre los progenitores, en los casos de régimen de convivencia compartida, la preferencia en el uso de la vivienda familiar se atribuirá en función de lo que sea más conveniente para los hijos e hijas menores y, siempre que fuere compatible con ello, al progenitor que tuviera objetivamente mayores dificultades de acceso a otra vivienda. En el caso de atribuirse la vivienda familiar a uno de los progenitores, si ésta es privativa del otro progenitor o común de ambos, se fijará una compensación por la pérdida del uso y disposición de la misma a favor del progenitor titular o cotitular no adjudicatario teniendo en cuenta las rentas pagadas por alquileres de viviendas similares en la misma zona y las demás circunstancias concurrentes en el caso. Tal compensación podrá ser computada, en todo o en parte, como contribución a los gastos ordinarios con el consentimiento de quien tenga derecho a ella o en virtud de decisión judicial. El mismo régimen jurídico se aplicará a los supuestos en los que se atribuya la convivencia con los hijos e hijas menores a uno solo de los progenitores”.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en este caso puede ser aceptado el criterio del Abogado del Estado que entiende que con este régimen se distorsiona la necesaria atención al interés prevalente del menor al introducir un factor ajeno al mismo como es el criterio de la dificultad de acceso a la vivienda que, además, perjudica al progenitor que se encuentre en peor situación patrimonial dado que, presumiblemente, deberá asumir el pago de una compensación por el uso de la vivienda. En efecto, al igual que en el caso anterior, es la autoridad judicial la que ha de decidir la atribución del uso de la vivienda lo que asegura la toma en consideración en todo caso del superior interés de los menores afectados. En segundo lugar, a la luz del propio tenor literal del art. 6.1, cabe dudar de que la afectación al aludido interés de los menores se produzca pues el precepto proclama claramente como criterio de atribución del uso de la vivienda familiar, que ha de ser respetado en todo caso por la autoridad judicial en su decisión, el de la conveniencia de los hijos de suerte que la toma en consideración de las eventuales dificultades en el acceso a la vivienda por parte de uno de los progenitores solamente se producirá en el caso de que, a juicio de la autoridad judicial, resulte compatible con el aludido interés de los hijos. En tercer lugar, los perjuicios que se alegan a los intereses patrimoniales de uno de los progenitores, además de su marcado carácter hipotético, no pueden prevalecer sobre los intereses generales a que obedece la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la Ley de la Comunidad Valenciana 5/2011, de 1 de abril, de relaciones familiares de los hijos e hijas cuyos progenitores no conviven.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noviembre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