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mayo de 2006, el Procurador de los Tribunales don José Javier Cuevas Rivas, en nombre y representación de don Joseba Koldobika Artola Ibarretxe, y bajo la dirección del Letrado don Iñaki Goioaga Llano, interpuso recurso de amparo contra el Auto de la Sala de lo Penal de la Audiencia Nacional de 18 de abril de 2006, que desestima sendos recursos de súplica interpuestos contra las providencias de la misma Sala de 16 y 31 de marzo de 2006 que deniegan el licenciamiento propuesto por el centro penitenciario y le requieren para que elabore nueva liquidación conforme a cierto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12 de diciembre de 2006,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18 de mayo de 2006 a la de 10 de junio de 2016,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providencia de 5 de febrero de 2008, acordó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21 de junio de 2011 el Pleno acuerda recabar para sí, a propuesta de la Sala Segunda, el conocimiento del presente recurso de amparo que se tramitaba en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5 de diciembre de 2011, se solicitó de nuevo la suspensión, esta vez “de los efectos de la aplicación de la sentencia del Tribunal Supremo 197/2006, de 28 de febrero, porque la misma está produciendo tal perjuicio al recurrente que hace perder al amparo su finalidad”, aduciendo los mismos motivos que en el previo escrito de 12 de diciembre de 2006 y puntualizando que, dado que han pasado cinco años desde entonces, el perjuicio se está agravando.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20 de diciembre de 2011, acordó, de un lado, inadmitir la solicitud de 5 de diciembre de 2011 “toda vez que la suspensión interesada se refiere a una resolución judicial (STS 197/2006, de 28 de febrero) no recurrida en el presente proceso de amparo”, y de otro formar pieza separada para la tramitación del incidente sobre la suspensión solicitada en el escrito de 12 de diciembre de 2006 y conceder a las partes personadas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el 28 de diciembre de 2011, presentó alegaciones en las que, enunciando la jurisprudencia de este Tribunal sobre el particular, interesó que se denegara la suspensión solicitada, argumentando, por un lado, la gravedad de las penas impuestas cuya fecha de cumplimiento es el objeto del recuso de amparo y la lejanía del tiempo de cumplimiento definitivo fijado en las resoluciones impugnadas, motivos que han conducido al ATC de 16 de abril de 2007 (sic) en un supuesto muy semejante a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28 de diciembre de 2011, presentó alegaciones en las que, enunciando la jurisprudencia de este Tribunal sobre el particular, interesó que se denegara la suspensión solicitada, argumentando que, como el Tribunal resolvió en supuestos similares, “la solicitud de la suspensión debe ser rechazada, ya que se trata del cumplimiento de penas graves cuyo límite se ha establecido en treinta años y su concesión supondría la puesta en libertad del recurrente y, con ello, un parcial otorgamiento anticipado del amparo” (ATC 206/2010, de 30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por escrito registrado el 29 de diciembre de 2011, presentó alegaciones insistiendo en la necesidad de la suspensión de las resoluciones impugnadas por los graves perjuicios que supone el mantenimiento en prisión.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todo ello, y tal como señala el Ministerio Fiscal y el Abogado del Estado,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5560-2006.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