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2383-2010, promovido por don Joaquín Urain Larrañaga, representado por el Procurador de los Tribunales don José Javier Cuevas Rivas y asistido por la Letrado doña Ainhoa Baglietto, contra los Autos de 21 de enero y de 19 de febrero de 2010 de la Sala Segunda del Tribunal Supremo y contra el Auto de la Sección Segunda de la Sala de lo Penal de la Audiencia Nacional de 24 de agosto de 2009. Ha intervenido el Ministerio Fiscal.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18 de marzo de 2010, don José Javier Cuevas Rivas, Procurador de los Tribunales, y de don Joaquín Urain Larrañaga,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por la Sección Segunda de Sala de lo Penal de la Audiencia Nacional, en diversos procesos a varias penas que suman más de cuatrocientos años, acordando el tribunal sentenciador mediante Auto de 16 de junio de 1997 la refundición de tales condenas. Su razonamiento jurídico único dice expresamente: “Los delitos cometidos por el penado Joaquín Urain Larrañaga presentan entre sí clara conexión jurídica y cronológica que hubiera permitido enjuiciarlos en un solo proceso, por lo que, de conformidad con lo preceptuado por el artículo 988 de la Ley de Enjuiciamiento Criminal, en relación con lo dispuesto en la regla 2ª del artículo 70 del Código Penal, es procedente refundir las condenas impuestas y expresadas, y fijar el máximo de la condena total a cumplir por el penado Joaquín Urain Larrañaga, en las indicadas causas, la de treinta años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21 de noviembre de 2008 tuvo entrada en la Sección Segunda de Sala de lo Penal de la Audiencia Nacional un oficio del centro penitenciario de La Moraleja, en Dueñas, en el que consultaba si era aplicable al recurrente la doctrina emanada de la STS 197/2006, de 28 de febrero, toda vez que de no aplicarse la fecha de licenciamiento sería el 29 de agosto de 2009 de acuerdo con las redenciones ordinarias consignadas en la hoja de cálculo que se adjuntaba. De aplicarse, por el contrario, la fecha sería el 10 de enero de 2016. Oficio que fue recordado por otro de 25 de mayo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una vez evacuado el traslado conferido a las partes, apoyando el Fiscal la aplicación de los criterios de la STS 197/2006 y oponiéndose a ello el recurrente, interesó del centro penitenciario mediante diligencia de ordenación de 17 de julio de 2009 nueva propuesta de licenciamiento con cálculo efectuado de conformidad con los criterios de dicha Sentencia, y fijó mediante Auto de 24 de agosto de 2009 y de conformidad con los referidos criterios la fecha de licenciamiento definitiva del recurrente para el 10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dicho Auto se interpuso recurso de casación, inadmitido por Auto de 21 de enero de 2010. Contra esa resolución se formuló incidente de nulidad de actuaciones, que fue también inadmitido en virtud de Providencia de 19 de febrero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actor fundamenta su demanda de amparo en la vulneración de los derechos fundamentales a la legalidad (art. 25.1 y 2 CE), a la tutela judicial efectiva (art. 24.1 CE), a la libertad (art. 17 CE) y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en primer lugar, la vulneración del principio de legalidad (art. 25.1 y 2 CE), en relación con la interpretación de los arts. 70.2 y 100 del Código penal (CP) de 1973, así como de los arts. 66 del reglamento de prisiones de 1956 y del art. 202 del reglamento penitenciario actual.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 Finalmente, señala que en la práctica la Administración penitenciaria, con la aprobación de los Jueces de vigilancia penitenciaria y los Tribunales sentenciadores, han venido aplicando las redenciones siempre al tiempo de cumplimiento efectivo de la condena, descontándose del máximo de cumplimiento un día por cada dos trabajados. Criterio mantenido incluso por los Plenos no jurisdiccionales del Tribunal Supremo de 18 de julio de 1996 y 12 de febrero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amparo denuncia la vulneración del derecho a la tutela judicial efectiva (art. 24.1 CE), en relación con el derecho a la libertad (art. 17 CE). Sostiene la demanda que la nueva interpretación del cómputo de las redenciones sobre la totalidad de la condena contradice el Auto de 16 de junio de 1997, toda vez que éste al refundir todas las penas en la resultante de treinta años suponía la desaparición de las que excedían de este límite de cumplimiento, y le genera indefensión e inseguridad jurídica, puesto que las redenciones aprobadas por los Juzgados de Vigilancia Penitenciaria, intangibles y firmes, aplicadas —como se venía haciendo— al tope de treinta años, suponían un importante acortamiento de su condena de treinta años. El trabajo y los estudios en la prisión se realizaron en la confianza de que las redenciones así obtenidas implicarían un acortamiento del tiempo de permanencia en prisión, como en el caso de la STC 76/2004, habiéndose generado una expectativa de dicho acortamiento sobre la base de la actuación de los órganos judiciales hasta el momento. Esa expectativa se deriva, según el recurrente, de la mera aprobación de las redenciones por los Juzgados de Vigilancia Penitenciaria. La defraudación de esa 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tercer motivo de amparo, se considera vulnerado el principio de legalidad (arts.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 Muy especialmente en este caso, pues la misma Sección Segunda de Sala de lo Penal de la Audiencia Nacional, mediante providencia de 18 de noviembre de 2008, después por tanto de la STS 197/2006, acordó el licenciamiento definitivo de otro penado a más de treinta años —el señor Carrasco Alba— para el 26 de febrero de 2009, lo que supone la aplicación de las redenciones ordinarias al límite máximo de cumplimiento de treinta años que se habría cumplido el 19 de diciembre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quinto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En el caso del señor Urain ha cumplido un tiempo de estancia efectiva en prisión al que deberían sumarse las redenciones ordinarias y extraordinarias y licenciarlo cuando el cómputo de ambas llegue a 10.950 días, es decir al máximo de treinta años previsto en el art. 70.2 CP 1973. Sin embargo, las resoluciones recurridas retrasan la puesta en libertad del recurrente hasta el cumplimiento de los treinta años íntegros y, por tanto, violan el art. 17 CE y los arts. 5 y 15.1 Convenio europeo para la protección de los derechos humanos y de las libertades fundamentales, así como los arts. 9.1 y 5 y 15.1 Pacto internacional de derechos civiles y políticos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Aparte de los motivos de amparo, y mediante otrosí de la demanda, el recurrente solicita con apoyo en el art. 56.1 de la Ley Orgánica del Tribunal Constitucional (LOTC) la suspensión de la ejecución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31 de marzo de 2011, la Sala Segunda de este Tribunal acordó la admisión a trámite de la demanda así como, a tenor de lo establecido en el art. 51 LOTC, requerir atentamente a Sala Segunda del Tribunal Supremo, a fin de que remita testimonio de lo actuado en el recurso de casación 002-0011106-2009, y al Servicio de Ejecutorias de la Audiencia Nacional, para que remitiera testimonio de las actuaciones correspondientes a la ejecutoria 103-1989, interesándole al tiempo que se emplazara a quienes fueron parte en el procedimiento, a excepción del demandante de amparo, para que pudiesen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la Sala Segunda de este Tribunal acordó formar pieza separada para la tramitación del incidente sobre suspensión y, conforme determina el art. 56 LOTC, conceder un plazo común de tres días a la parte recurrente y al Ministerio Fiscal para que aleguen lo que estimen pertinente. Evacuado dicho trámite, la Sala Segunda, por Auto de 16 de mayo de 2011,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una diligencia de ordenación de 15 de julio de 2011 se acordó dar vista de las actuaciones a la parte recurrente y al Ministerio público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sosteniendo que por razones sistemáticas procede abordar los motivos de modo distinto al propuesto en la demanda de amparo. Es por ello que empieza por el examen del sexto y último motivo expuesto, relativo a la vulneración del principio de legalidad penal (art. 25.2 CE) en el enunciado relativo al carácter rehabilitador y de reinserción social que deben tener las penas señaladas en el Código penal. En opinión del Ministerio Fiscal este motivo debe ser rechazado a limine porque el art. 25.2 CE no contiene un derecho fundamental del ciudadano susceptible de ser invocado en amparo, sino más bien un mandato destinado al legislador para orientar la política penal y penitenciaria. Además, la queja del recurrente no se centra en el contenido de los preceptos legales o reglamentarios, sino en la interpretación que de los mismos realiza la Audiencia Nacional, por lo que este motivo de amparo carece de autonomía y debe vincularse a otras infracciones del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el Ministerio Fiscal que los motivos primero, tercero y quinto tengan suficiente eficacia suasoria. De un lado, “no parece que en el caso de autos, y a los efectos de una posible vulneración del principio de legalidad (art. 25.1) la interpretación que las resoluciones judiciales ahora recurridas en amparo hacen del art. 70.2 CP 1973 en exégesis derivada de la STS (Pleno de la Sala Segunda del Tribunal Supremo) 197/2006, de 28 de febrero, se base en una subsunción ajena al significado posible de los términos de la norma aplicada o se base en una argumentación ilógica o indiscutiblemente extravagante o ajena a los criterios que informan nuestro ordenamiento constitucional o conduzcan a soluciones esencialmente contrarias u opuestas a la orientación material de la norma y por ello imprevisible para sus destinatarios (por todas, SSTC 151/2005, de 6 de junio y 283/2006, de 9 de octubre), sin que corresponda por ende al Tribunal Constitucional dilucidar, como acontece en el caso de autos, cuál de las posibles interpretaciones o criterios jurisprudenciales es el más adecuado a la norma en juego”. De otro, “no tiene fundamento alguno sostener que se ha vulnerado dicho principio de irretroactividad de la ley penal por haber hecho aplicación del contenido del art. 78 CP 1995 bajo el ropaje aparente del art. 70.2 CP 1973, toda vez que el precepto que se ha aplicado ha sido siempre el art. 70.2 CP 1973, de vigencia al tiempo de comisión de los hechos, y sobre el que ha recaído la interpretación sentada en la Sentencia de la Sala de lo Penal del Tribunal Supremo núm. 197/2006, de 20 de febrero, y no el art. 78 CP 1995”. En fin, “se cita todo ello además en relación con el derecho fundamental a la libertad personal (art. 17 CE). Pero tal cita debe considerarse ínsita en la argumentación de denegación de la irretroactividad contra reo que hemos expuesto más arriba. Si no concurre tal defecto constitucional en la aplicación al reo de la doctrina derivada de la STS del Pleno de la Sala Segunda del Tribunal Supremo 197/2006, de 28 de febrero, tampoco puede deducirse que el no licenciamiento del Sr. Urain en la fecha prevista de no concurrir tal doctrina haya comprometido constitucionalmente su derecho a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también la denunciada vulneración del derecho a la igualdad en la aplicación de la Ley (art. 14 CE). En primer lugar, porque el órgano judicial que ha dictado una de las resoluciones impugnadas (la Audiencia Nacional) es distinto de aquel que sentó la doctrina supuestamente discriminatoria (el Tribunal Supremo). Y, en segundo lugar, porque en todo caso la Sentencia de la Sala Segunda del Tribunal Supremo a la que se atribuye el cambio de criterio, el cual ha sido asumido como ratio decidendi por todas la resoluciones impugnadas, había recogido un conjunto de razonamientos en interpretación de la legalidad aplicable al caso que, desde la perspectiva de la racionalidad, justifican dicho eventual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Ministerio Fiscal considera vulnerado el derecho a la intangibilidad de las resoluciones judiciales (art. 24.1 CE). Así, aun reconociendo que la STC 174/1989 pudiera avalar un criterio distinto, sostiene que “no parece que puedan ser calificadas como resoluciones judiciales de naturaleza intangible las liquidaciones de condena habida cuenta de la extremada fluidez de la vida de cumplimiento penitenciario cuando entre en juego, como sucede en el caso de autos, la institución de la redención de penas, en sí mismas consideradas”. Otra cosa acontece, sigue diciendo, “con la refundición de penas ex art. 70, regla 2, CP 1973 o en el vigente 76.1 CP. El Auto en que se fijara la refundición, si no es recurrido, o si siéndolo en cuanto a lo que acontezca en el resultado final del recurso, debe reputarse como firme y su consecuencia debe ser en principio la intangibilidad del mismo. La razón es obvia; se opera sobre una realidad, refundir condenas, y sobre una norma, en el caso de autos la regla 2 del art. 70 CP”. Y en relación a esta segunda cuestión argumenta que en lo que hace a este caso concreto “[a] priori no entendemos como de recibo que establecidos unos criterios de interpretación normativa para fijar la refundición de condena (Auto de 16 de junio de 1997) y establecidos ellos en resolución judicial, pudieran variarse en virtud de una posterior resolución, como son las resoluciones judiciales ahora recurridas en amparo, por vía de remisión a la STS 197/06, de 28 de febrero, que interpreta de otra manera las normas atinentes”. Según el Fiscal, “ello comporta la vulneración del derecho a la intangibilidad de las resoluciones judiciales ex art. 24.1 CE (por todas, STC 209/05, de 4 de julio), enumerado como tal en el cuarto de los motivos de amparo del presente recurso, y que además de alguna manera se desprende cuando se argumenta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 su juicio, este “derecho fundamental tiene engarce con el principio de legalidad (art. 25.1 CE) en relación con la prohibición de retroactividad de las normas penales perjudiciales para el reo (art. 9.3 CE, por todas 223/1997 y STEDH Streletz, Kessler, y Krenz vs Alemania de 22 de marzo de 2001), ya que las garantías de legalidad y seguridad jurídica que exigen ambos preceptos constitucionales deben extenderse no sólo al enjuiciamiento de los hechos como tipicidad cierta, taxativa y previsible (por todas, SSTC 196/2002, y 111/2004), sino que lo es asimismo para con la ejecución de las penas, integrándose la irretroactividad de las normas, y su interpretación, desfavorables al reo en el complejo de legalidad del art. 25.1 CE (vid. STEDH Puhk v Estonia de 10 de febrero de 2004).”. En efecto, “en el hecho de autos las resoluciones judiciales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que supone de facto la creación ex novo de un nuevo marco paranormativo que ha causado una extensión de la fecha de licenciamiento del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“a estas dos vulneraciones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que “[l]a consecuencia de todo ello es la estimación del amparo por todas esas vulneraciones, derecho a la intangibilidad de las resoluciones judiciales (art. 24.1 CE), en relación con el principio de legalidad penal en relación con la irretroactividad de lo desfavorable para el reo (art. 25.1 en relación con el art. 9.3 CE) y el derecho a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formuló sus alegaciones mediante escrito que tuvo su entrada en el Registro General de este Tribunal el día 8 de septiembre de 2011, en el que sustancialmente reproduce los argumentos ya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27 de septiembre de 2011 presentó sus alegaciones el Fiscal, interesando la estimación del amparo solicitado y la anulación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recurrente presentó en este Tribunal escrito de fecha 5 de diciembre de 2011 solicitando la suspensión de los efectos de la aplicación de la Sentencia del Tribunal Supremo 197/2006, de 28 de febrero, pues a su juicio está produciendo tal perjuicio al recurrente que hace perder al amparo su finalidad, alegando que el art. 56.4 LOTC le habilita para pedir esta suspensión a pesar que la misma ya fue solicitad previamente y denegada por Auto de 16 de mayo de 2011. La Sala, mediante providencia de 11 de enero de 2012, acordó que “no ha lugar a lo solicitado en el mismo, toda vez que la suspensión interesada se refiere a una resolución judicial (STS 197/06, de 28 de febrero) no recurrida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propuesta de la Sala Segunda, el Pleno, en su reunión de 17 de enero de 2011 y conforme al art. 10.1 n) LOTC,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marzo de 2012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Sección Segunda de la Sala de lo Penal de la Audiencia Nacional de 24 de agosto de 2009, que resuelve que, en aplicación de la doctrina sentada por el Tribunal Supremo en la STS 197/2006, de 28 de febrero, la fecha de licenciamiento definitivo del recurrente sería el 10 de enero de 2016. También se dirige contra el Auto de 21 de enero de 2010 de la Sala Segunda del Tribunal Supremo, que inadmitió el recurso de casación interpuesto frente aquél, y contra el Auto de 19 de febrero de 2010, que inadmitió el incidente de nulidad de actuaciones promovido frente a la inadmisión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legalidad (art. 25.1 y 2 CE), a la tutela judicial efectiva (art. 24.1 CE), a la libertad (art. 17.1 CE) y a la igualdad en la aplicación de la ley (art. 14 CE), con la argumentación que queda ampliamente expuesta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recurso, por entender concurrente la vulneración de los derechos fundamentales consagrados en los arts. 24.1, 25.1 y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distintos motivos de amparo se denuncia —como ya anticipamos— desde diversas perspectivas constitucionales la cuestión de fondo, esto es, la aplicación al presente caso de un nuevo criterio jurisprudencial en la interpretación de los arts. 70.2 y 100 del Código penal (CP) de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 Un cambio de doctrina cuya aplicación al presente caso por la Audiencia Nacional implica que, si bien conforme al cómputo de las redenciones de penas por trabajo aplicado hasta ese momento, el recurrente habría extinguido ya su condena y debería haber obtenido la libertad el día 14 de junio 2006 (según se desprende de la propuesta de licenciamiento definitivo enviada inicialmente por el centro penitenciario al órgano judicial), en aplicación del nuevo criterio la pena no se extinguiría hasta el día 19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entiende que de ello se deriva la vulneración del principio de igualdad en la aplicación de la ley (art. 14);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A la vista de lo cual, hemos de comenzar precisando cuáles son los derechos fundamentales en juego y cuál ha de ser nuestro parámetro de enjuiciamiento en esta materia. No obstante, con carácter previo, conviene aclarar que no es objeto del presente recurso de amparo la Sentencia 197/2006, de 28 de febrero, dictada por la Sala Segunda del Tribunal Supremo, sino que nuestro examen se ha de limitar a la consideración de la respuesta judicial que para el caso concreto se contiene en las resoluciones recurridas, en las que se acuerda la aplicación del criterio de cómputo de las redenciones establecido con carácter previo por la citada STS 197/1996.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—y en contra de lo sostenido por el Ministerio Fiscal—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(arts.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Dado que en el presente procedimiento no se impugna la Sentencia del Tribunal Supremo de 28 de febrero de 2006 no cabe entrar a examinar si ésta se ha apartado o no de sus precedentes vulnerando el art. 14 CE. Y por lo que respecta a las resoluciones impugnadas se limitan a aplicar la doctrina sentada en aquella Sentencia del Tribunal Supremo, máximo intérprete de la ley, justificando el cambio de criterio en el cómputo de las redenciones de penas por el trabajo, frente a otros supuestos resueltos con anterioridad, precisamente en la aplicación de esa doctrina del Tribunal Supremo.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muy distinta es que la misma Sección Segunda de la Sala de lo Penal de la Audiencia Nacional, en un tiempo posterior al cambio doctrinal operado en 2006, haya aplicado singularmente a un penado —señor Carrasco Alba— las redenciones ordinarias al límite máximo de cumplimiento de treinta años, debiendo destacar que el derecho a la igualdad no ampara la equiparación a quien ha obtenido un trato privilegiado. Además, consta (documento 11 de los acompañados con la demanda de amparo) escrito del Ministerio Fiscal de 6 de octubre de 2008, evacuando el traslado conferido al efecto, en que se puede leer que “procede aprobar el licenciamiento definitivo del penado José Antonio Carrasco Alba para el próximo día 26 de febrero de 2009 como propone el centro penitenciario de San Sebastián, al encontrarse el penado en libertad condicional desde el día 30 de agosto de 2001, por lo que no procede la aplicación de la sentencia del Tribunal Supremo 197/2006, de 28 de febrero”, lo que pone de manifiesto que no es un supuesto idéntico al del recurrente, de modo que no puede servir como término de comparación válido para formular un juicio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la respuesta judicial obtenida por el recurrente en el Auto de la Sección Segunda de la Sala de lo Penal de la Audiencia Nacional de 24 de agosto de 2009, confirmado por los autos del Tribunal Supremo que respectivamente inadmitieron el recurso de casación y el posterior incidente de nulidad de actuaciones, vulneró su derecho a la tutela judicial efectiva (art. 24.1 CE) y como consecuencia de ello su derecho a la libertad (art. 17.1 CE), lo que —según se argumenta en los motivos de amparo tercero y sexto, fundamentalmente— habría sucedido al aplicar un nuevo criterio de cómputo de la redención de penas por el trabajo que ignora la existencia de una legítima expectativa, fundada en la previa actuación de la administración penitenciaria y en resoluciones judiciales firmes e intangibles, de obtener el licenciamiento definitivo, y por tanto ser puesto en libertad, el día 28 de febrero de 2006. El Ministerio Fiscal también entiende concurrentes estas vulneraciones en los términos reseñados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conformando la realidad jurídica en un cierto sentido, realidad que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relevantes para la decisión adoptada (STC 62/2010, de 18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por la Sección Segunda de Sala de lo Penal de la Audiencia Nacional, en diversos procesos a varias penas que suman más de cuatrocientos años, acordando el tribunal sentenciador mediante Auto de 16 de junio de 1997 la refundición de tales condenas. Su razonamiento jurídico único dice expresamente: “Los delitos cometidos por el penado Joaquín Urain Larrañaga presentan entre sí clara conexión jurídica y cronológica que hubiera permitido enjuiciarlos en un solo proceso, por lo que, de conformidad con lo preceptuado por el artículo 988 de la Ley de enjuiciamiento criminal, en relación con lo dispuesto en la regla 2ª del artículo 70 del Código penal, es procedente refundir las condenas impuestas y expresadas, y fijar el máximo de la condena total a cumplir por el penado Joaquín Urain Larrañaga, en las indicadas causas, la de treinta años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21 de noviembre de 2008 tuvo entrada en la Sección Segunda de Sala de lo Penal de la Audiencia Nacional un oficio del centro penitenciario de La Moraleja, en Dueñas, en el que consultaba si era aplicable al recurrente la doctrina emanada de la STS 197/2006, de 28 de febrero, toda vez que de no aplicarse la fecha de licenciamiento sería el 29 de agosto de 2009 de acuerdo con las redenciones ordinarias consignadas en la hoja de cálculo que se adjuntaba.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una vez evacuado el traslado conferido a las partes, interesó del centro penitenciario mediante diligencia de ordenación de 17 de julio de 2009 nueva propuesta de licenciamiento con cálculo efectuado de conformidad con los criterios de dicha sentencia, y fijó mediante Auto de 24 de agosto de 2009 y de conformidad con los referidos criterios la fecha de licenciamiento definitiva del recurrente para el 10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ninguna de las resoluciones judiciales a las que se refiere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las resoluciones del Juzgado de Vigilancia Penitenciaria en las que se reconoció al penado determinados días de redención de pena por el trabajo u otras actividades realizadas, redenciones que recoge la hoja de cálculo adjunta a la propuesta de licenciamiento enviado por el centro penitenciario,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El Auto que fijó la fecha de licenciamiento definitivo de conformidad con la doctrina sentada por el Tribunal Supremo en la STS 197/2006, de 28 de febrero no dejó sin efecto dichas redenciones sino que, en ejercicio de las competencias que legalmente tiene atribuidas, las computó sucesivamente sobre las varias penas impuestas a efectos de liquidación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Auto de acumulación de condenas y fijación del límite máximo de cumplimiento treinta años de privación de libertad, que cita el Ministerio Fiscal como resolución intangible que ha sido ilegítimamente desconocida, se limita a hacer efectiva la previsión legal (arts. 988 de la Ley de enjuiciamiento criminal y 70.2 CP 1973). No existe en él referencia alguna a la redención de penas por el trabajo o al criterio de cómputo de la misma, ni puede concluirse que dicho criterio sea relevante en modo alguno en la decisión de acumulación en su día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o del principio de legalidad (art. 25.1 CE) en relación con la prohibición de retroactividad de las normas penales perjudiciales para el reo (art. 9.3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Joaquín Urain Larrañaga.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Eugeni Gay Montalvo respecto de la Sentencia dictada en el recurso de amparo núm. 2383-2010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profundo respeto a la decisión mayoritaria debo explicitar mi desacuerdo con los fundamentos y el fallo de la presente Sentencia, de la que he sido Ponente y es en esa condición en la que recojo en ella una opinión mayoritaria contraria a mi criterio. En cuanto a los motivos de mi desacuerdo me remito a la opinión discrepante que he dejado expresada en el recurso de amparo avocado núm. 7325-2006, donde razono mi convencimiento de que en este asunto se han vulnerado los derechos fundamentales reconocidos al recurrente por los arts. 17.1 y 25.1 CE, lo que debería haber llevado a este Tribunal a otorgar el amparo solicitado.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Adela Asua Batarrita a la Sentencia dictada en el recurso de amparo núm. 2383-2010.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