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abril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La Sala Primera del Tribunal Constitucional, compuesta por don Pascual Sala Sánchez, Presidente, don Javier Delgado Barrio, don Manuel Aragón Reyes, don Pablo Pérez Tremps y doña Adela Asua Batarrita, Magistrados, ha pronunciado</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EN NOMBRE DEL REY</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la siguiente</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S E N T E N C I A</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9432-2006, promovido por la entidad mercantil Acqua-Medicina y Cirugía Estética, S.L., representada por la Procuradora de los Tribunales doña Almudena Gil Segura y asistida por el Abogado don Ricardo Ibáñez Castresana, contra la Sentencia de 14 de julio de 2006 de la Sección Octava de la Sala de lo Contencioso-Administrativo del Tribunal Superior de Justicia de Madrid, que desestimó el recurso contencioso-administrativo interpuesto contra la resolución de la Consejería de Sanidad de la Comunidad Autónoma de Madrid de 31 de julio de 2003, a su vez desestimatoria del recurso de reposición presentado contra la resolución de 5 de marzo de 2003 adoptada en el expediente sancionador núm. 66-2002. Ha intervenido el Ministerio Fiscal. Ha comparecido la Comunidad Autónoma de Madrid defendida por el Letrado don Robert Da Costa López. Ha sido Ponente la Magistrada doña Adela Asua Batarrita, quien expresa el parecer de la Sala.</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17 de octubre de 2006, la entidad mercantil Acqua-Medicina y Cirugía Estética, S.L.,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relevantes para la resolución de este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julio de 2002 el Servicio de ordenación y asistencia farmacéutica de la Comunidad Autónoma de Madrid llevó a cabo una inspección del local sito en la planta baja del número 80 de la calle Núñez de Balboa de Madrid, en el que la sociedad mercantil Acqua Medicina y Cirugía Estética, S.L., desarrollaba su actividad. En el acta levantada con motivo de dicha inspección, tras consignar su resultado, se hizo constar que se informaba a la entidad mercantil de que en el plazo de diez días podía formular alegaciones, lo que ésta llevó a cabo mediante escrito presentado el 31 de julio de 2002, aunque el mismo, por ignoradas razones, no fue incorporado por la Administración al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orden de 12 de noviembre de 2002, el Director general de farmacia y productos sanitarios de la Comunidad Autónoma dispuso la iniciación de un expediente sancionador contra la mencionada mercantil. Dicho acuerdo de incoación fue notificado el 16 de diciembre de 2002 por medio de correo certificado con acuse de recibo, en la persona de una vecina del inmueble sito en la Avenida de Machupichu núm. 11 de Madrid, dirección a la que fue remitido por ser el domicilio fiscal de la sociedad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marzo de 2003 el Consejero de Sanidad dictó una orden en la que se expresaba que, al no haber efectuado la parte interesada alegaciones sobre el contenido del acuerdo de iniciación del procedimiento, dicho acuerdo debía ser considerado como propuesta de resolución, según lo dispuesto en el art. 6.2 a) del Decreto 245/2000, de 16 de noviembre, por el que se aprueba el Reglamento para el ejercicio de la potestad sancionadora por la Administración pública de la Comunidad de Madrid. Como consecuencia de lo anterior, en la referida orden se procedió a sancionar la comisión de tres infracciones tipificadas en la Ley 25/1990, de 20 de diciembre, del medicamento: i) Con multa de 30.051 euros, la comisión de una falta muy grave del art. 108.2 c) l, consistente en la adquisición, prescripción y dispensación de medicamentos no autorizados por la Administración sanitaria. ii) Con multa de 15.025 euros, la comisión de una falta grave del art. 108.2 b) 21, consistente en la prescripción de un tratamiento farmacológico a base de sustancias medicinales cuya prescripción simultánea está prohibida en la Orden de 14 de febrero de 1997. iii) Con multa de 15.025 euros, la comisión de una falta grave del art. 108.2 b) 17, consistente en connivencia con oficinas de farmacia para la elaboración y dispensación de los tratamientos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orden sancionadora se intentó notificar en una primera ocasión, sin éxito, en el domicilio antes mencionado de la Avenida de Machupichu núm. 11 de Madrid. Tras ello, la notificación se realizó en el local de la compañía sito en el bajo de la calle Núñez de Balboa, núm. 80, de Madrid, lugar donde se había llevado a cabo la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acuerdo sancionador interpuso la interesada recurso de reposición, alegando: i) Falta de incorporación al expediente administrativo del escrito de alegaciones presentado en los diez días siguientes a la inspección y la notificación del acuerdo de iniciación del expediente sancionador, con la consecuente omisión del trámite de alegaciones. ii) Caducidad del expediente sancionador. iii) Prescripción de las supuestas infracciones. iv) Inexistencia de las deficiencias imputadas, solicitando al respecto la práctica de prueba pericial. v) Vulneración del principio de proporcionalidad. vi) Vulneración de los principios non bis in idem y de prejudicialidad penal, pues por los mismos hechos y contra las mismas personas se tramitaban las diligencias previas núm. 1104-2002 del Juzgado de Instrucción núm. 1 de Leganés.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la Consejería de Sanidad mediante resolución de 31 de julio de 2003, denegándose la prueba pericial solicitada por no estimar apropiada ni pertinente para la determinación de los hechos, ya que los mismos habían resultado acreditados a través de las actas de inspección. No obstante, en la misma resolución se acordó suspender la ejecución de la orden hasta que recayera resolución judicial en las diligencias previas núm. 1104-2002 del Juzgado de Instrucción núm. 1 de Leganés, incoadas con motivo de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resolución se interpuso recurso contencioso-administrativo, formulando, en síntesis, las siguientes alegaciones: i) Falta de incorporación al expediente administrativo del escrito de alegaciones presentado en los diez días siguientes a la inspección. ii) Falta de notificación del acuerdo de iniciación del expediente sancionador y omisión del trámite subsiguiente de alegaciones. iii) Prescripción de las supuestas infracciones. iv) Caducidad del expediente sancionador. v) Caducidad del acta de inspección. vi) Vulneración del principio non bis in idem y de la prejudicialidad penal, pues por los mismos hechos y contra las mismas personas se tramitaban las diligencias previas ya indicadas. vii) Inexistencia de las deficiencias imputadas (al respecto se aduce que los medicamentos hallados en la clínica eran de uso debidamente autorizado, se expone que la prescripción de tratamientos no ha infringido la Orden de 14 de febrero de 1997 y se niega que a los pacientes se les indicara un determinado establecimiento en el que podían encargar la elaboración de la correspondiente fórmula magistral). viii) Infracción de los principios de presunción de inocencia, de tipicidad (preguntándose la demandante en qué párrafo del art. 108 de la Ley del medicamento aparecen claramente subsumidas las infracciones imputadas) y de confianza legítima en la legalidad de la actuación de la entidad recurrente conforme a la lex artis. ix) Vulneración del principio de proporcionalidad en la fijación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Correspondió el conocimiento del recurso a la Sección Octava de la Sala de lo Contencioso Administrativo del Tribunal Superior de Justicia de Madrid, donde se tramitó como procedimiento ordinario núm. 1922-2003. En el curso del mismo la demandante propuso la práctica de diversos medios de prueba, siendo denegada parte de la prueba documental así como la pericial y la testifical. Contra tal denegación se interpuso recurso de súplica, que fue desestimado por Auto de 12 de mayo de 2004. Finalmente, recayó Sentencia el 14 de julio de 2006, que desestimó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principio de supremacía del orden penal en relación con el principio non bis in idem, puesto que se ha tramitado el procedimiento sancionador, pese a encontrarse abierto un proceso penal por los mismos hechos, tramitado en el Juzgado de Instrucción núm. 1 de Leganés, en virtud de denuncia presentada por la propia Consejería de Sanidad de la Comunidad Autónoma de Madrid, obviándose así que los hechos probados ante la jurisdicción penal pueden incidir en el procedimiento administrativo, cuya resolución debe quedar en suspenso hasta que el proceso penal se concluya; y obviándose también que una posterior sanción penal implicaría la imposición de dos sanciones por una misma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la vulneración del derecho a la tutela judicial efectiva (art. 24.1 CE), a causa de que, según el acta de inspección levantada por el servicio de ordenación y asistencia farmacéutica, se informaba de la posibilidad de presentar alegaciones en el plazo de diez días, lo que se realizó el 31 de julio de 2002, pero sin que haya constancia de ellas en el expediente administrativo; y sin que, por tanto, se hayan tomado en consideración tales alegaciones para no incoar procedimiento sancionador. Al apreciar la Administración que no se habían presentado alegaciones, ni al acta ni al acuerdo de iniciación, procedió a resolver directamente sin que la parte recibiera notificación del acuerdo de iniciación de expediente sancionador. Al tiempo, la actora rechaza el argumento de la Administración de que no se ha producido indefensión porque contra la resolución sancionadora se ha podido presentar recurso de reposición, pues la omisión del trámite de alegaciones es determinante de la nulidad de pleno derecho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alega la vulneración del principio de presunción de inocencia (art. 24.2 CE), negándose la comisión de las infracciones imputadas, pues, en síntesis: a) los medicamentos y productos utilizados eran de uso legal, siendo adquiridos a los correspondientes laboratorios; b) los tratamientos prescritos se ajustaban a la legislación vigente; y c) nunca se ha impuesto a los pacientes la adquisición de los tratamientos en una oficina de farmacia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aduce la vulneración de los principios de legalidad y de tipicidad, como consecuencia de una palmaria equivocación en la interpretación de la normativa aplicable, en concreto, de la Orden de 14 de febrero de 1997, por la que se establecen determinados requisitos en la prescripción y dispensación de formulas magistrales y preparados oficinales para tratamientos peculiares, añadiéndose que resulta inconstitucional que la ley se remita a lo que disponga una simple orden ministerial en cuestiones que afectan a la libertad de ejercicio profesional del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de este Tribunal acordó la admisión a trámite de la demanda de amparo, así como, a tenor de lo establecido en el art. 51 de la Ley Orgánica del Tribunal Constitucional (LOTC), requerir a la Consejería de Sanidad de la Comunidad Autónoma de Madrid y a la Sección Octava de la Sala de lo Contencioso-Administrativo del Tribunal Superior de Justicia de Madrid para que remitieran testimonio, respectivamente, del expediente administrativo y de las actuaciones judiciales, acordándose al mismo tiempo el emplazamiento de quienes fueron parte en el proceso judicial,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pieza separada de suspensión y, de conformidad con lo previsto en el art. 56 LOTC, conceder un plazo común de tres días al Ministerio Fiscal y a las partes personadas para que alegaran lo que estimasen pertinente en relación con la petición de suspensión interesada. La representación procesal de la entidad recurrente formuló alegaciones el 25 de abril de 2008, aduciendo que la suspensión solicitada no producía daño para el interés público y, por el contrario, evitaría el perjuicio derivado de carecer de liquidez suficiente para atender al pago de las sanciones, por lo que se vería obligada a solicitar un crédito bancario o a replantearse la continuidad de su actividad, con el consiguiente perjuicio para los empleados. Por el contrario, el Ministerio Fiscal se opuso a la suspensión en su escrito de alegaciones, presentado el 28 de mayo de 2008, al entender que el pronunciamiento judicial impugnado tiene un contenido exclusivamente pecuniario y, por tanto, fácilmente reparable. También el Letrado de la Comunidad Autónoma de Madrid, mediante escrito de 30 de mayo de 2008, se opuso a la suspensión, en consideración al alcance meramente económico de la sanción y a que la demanda no ofrece justificación alguna de su procedencia. Finalmente, la Sala, mediante el ATC 168/2008, de 23 de junio,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entidad recurrente dio cumplimiento al trámite de alegaciones conferido, mediante escrito presentado el 19 de junio de 2008,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Administración autonómica presentó su escrito de alegaciones el 4 de julio de 2008, solicitando la desestimación del recurso de amparo. En lo atinente a la vulneración del principio non bis in idem, señala que, analizadas las actuaciones, se constata que el procedimiento sancionador finalizó el 5 de marzo del año 2003, fecha en la que se impuso la sanción. Es precisamente al recurrir la misma cuando el interesado manifiesta que existe un procedimiento penal por los mismos hechos; y a resultas de esa información se solicitó al Juzgado de Instrucción núm. 1 de Leganés testimonio de sus actuaciones, recibiéndose el 26 de junio de 2003 certificado de la Secretaría del Juzgado en el que se constata que se siguen diligencias previas por un delito contra la salud pública, estafa y lesiones; ante lo cual se procedió a suspender la ejecución de la orden impugnada. Por tanto, cuando se impuso la sanción administrativa no sólo no existía sanción penal —con lo que resulta imposible hablar de una vulneración del principio non bis in idem— sino que ni tan siquiera había conocimiento fehaciente de la existencia del proceso penal, pues la presentación de la denuncia nada implica al respecto. En segundo lugar, entiende que tampoco se vulnera la prejudicialidad penal pues una vez conocida la existencia del procedimiento penal se procedió a suspender la ejecución de la orden impugnada; añade que, en realidad, no existe concurrencia de procedimientos, pues el órgano administrativo tuvo conocimiento de la existencia de diligencias penales después de dictar la resolución sancionadora; es más, ni tan siquiera la parte actora ha acreditado con posterioridad que los hechos hayan sido castigados por el orden jurisdiccional penal. En todo caso, si bien la jurisdicción penal es prevalente, la Sentencia recurrida en amparo pone de manifiesto la posibilidad del actor de alegar en el procedimiento penal la existencia de una sanción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las cuestiones suscitadas, entiende que deben ser rechazadas pues lo que se pretende es una revisión de lo ya juzgado, reiterándose en esta vía de amparo alegaciones realizadas en el recurso administrativo y en la demanda contencioso-administrativa, sobre las cuales ya ha habido un pronunciamiento judicial fundado y motivado en Derecho, con independencia de que la actora no lo comparta.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en escrito registrado el 30 de julio de 2008, en el que señala que del examen de las actuaciones resulta que la Administración, al extraviar el escrito de alegaciones de la entidad recurrente, presentado en el 31 de julio de 2002, y al no emplazar personalmente a la parte demandante de amparo en el procedimiento administrativo sancionador —pese a tener conocimiento del efectivo domicilio de aquélla— no ha actuado con la diligencia que le era exigible y ha generado a dicha entidad recurrente en amparo, al impedirle ejercer el derecho de defensa en el procedimiento administrativo sancionador, una situación de indefensión relevante constitucionalmente. En consecuencia, la sanción fue impuesta de plano, sin respetar procedimiento contradictorio alguno. Y, al no ser reparada dicha lesión por el órgano judicial, ha de extenderse la declaración de nulidad a la Sentencia de la Sección Octava de la Sala de lo Contencioso Administrativo del Tribunal Superior de Justicia de Madrid. Para el Ministerio Fiscal la apreciación de la anterior vulneración constitucional hace improcedente entrar a considerar las demás quejas planteadas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abril de 2012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 amparo trae causa de la desestimación del recurso contencioso-administrativo interpuesto por la entidad demandante contra la imposición, por el Consejero de Sanidad de la Comunidad Autónoma de Madrid, de tres sanciones pecuniarias, por la comisión de otras tantas infracciones de la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dirige la demanda de amparo contra la Sentencia de la Sala de lo Contencioso-Administrativo del Tribunal Superior de Justicia de Madrid de 14 de julio de 2006, que desestimó el recurso contencioso-administrativo interpuesto por Acqua-Medicina y Cirugía Estética, S.L., contra la resolución del Consejero de Sanidad de la Comunidad Autónoma de Madrid de 31 de julio de 2003, a su vez desestimatoria del recurso de reposición formulado contra la resolución de 5 de marzo de 2003, mediante la cual fue sancionada como responsable de una falta muy grave y otras dos graves, previstas en la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en el curso del procedimiento administrativo se ha vulnerado el principio de supremacía del orden penal en relación con el principio non bis in idem, puesto que se ha tramitado el procedimiento sancionador, pese a encontrarse abierto un proceso penal por los mismos hechos. Igualmente se habría lesionado el derecho a la tutela judicial efectiva (art. 24.1 CE), a causa de que las alegaciones que presentó no se incorporaron al expediente administrativo, sin que, por tanto, se hubieran tomado en consideración por la Administración antes de resolver. En tercer lugar, se alega la vulneración del principio de presunción de inocencia (art. 24.2 CE). Por último, se aduce la vulneración de los principios de legalidad y de tipicidad como consecuencia de una equivocada aplicación de la normativa sancionadora, la cual, además, no respeta la necesaria reserva de ley en materia que afecta a libertad de ejercicio profesional de los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solicita el otorgamiento del amparo en atención a que, al extraviar la Administración el escrito de alegaciones de la entidad recurrente y no habérsele emplazado en el procedimiento sancionador —pese a tenerse conocimiento de su efectivo domicilio— se ha generado una situación de indefensión relevante constitucionalmente, que no fue corregida en la vía contencioso-administrativa. Por el contrario, el Letrado de la Comunidad Autónoma de Madrid solicita la desestimación de la demanda al considerar que no se ha producido vulneración del principio non bis in idem, dado que cuando se impuso la sanción administrativa ni tan siquiera había conocimiento fehaciente de la existencia del proceso penal; y, una vez conocida su incoación, se procedió a suspender la ejecución de la resolución sancionadora; más aún, ni tan siquiera se ha acreditado que los hechos hayan sido castigados por el orden jurisdiccional penal. En todo caso, si bien la jurisdicción penal es prevalente, la Sentencia recurrida en amparo pone de manifiesto la posibilidad de alegar en el procedimiento penal la existencia de una sanción administrativa previa. En cuanto al resto de las cuestiones suscitadas, entiende que lo que se pretende es una revisión de lo ya juzgado, reiterándose en esta vía de amparo alegaciones realizadas en el recurso administrativo y en la demanda contencioso-administrativa, sobre las cuales ya ha habido un pronunciamiento judicial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delimitar adecuadamente el objeto del presente recurso de amparo resulta necesario efectuar algunas precisiones. La primera de ellas consiste en que, pese a dirigirse formalmente la demanda de amparo contra la Sentencia recaída en el proceso contencioso-administrativo, sin embargo el recurso ha de entenderse formulado por el cauce del art. 43 de la Ley Orgánica del Tribunal Constitucional (LOTC) y no por el previsto en el art. 44 LOTC, ya que las infracciones constitucionales que se denuncian se imputan directamente a las resoluciones recaídas en el procedimiento administrativo sancionador y solo indirectamente, en la medida en que no las ha reparado, a la Sentencia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examen de la queja referida al desarrollo inaudita parte del expediente sancionador, debemos recordar, una vez más, que este Tribunal ha ido elaborando progresivamente una doctrina que asume la vigencia en el seno del procedimiento administrativo sancionador de un amplio abanico de garantías emanadas del art. 24.2 CE, entre las que se encuentra el derecho a la defensa, que proscribe cualquier indefensión (por todas, SSTC 18/1981, de 8 de junio, FJ 2; 7/1998, de 13 de enero, FJ 5; 276/2000, de 16 de noviembre, FJ 7; 272/2006, de 25 de septiembre, FJ 2; y 175/2007, de 23 de julio, FJ 3). El ejercicio de este derecho de defensa en el seno de un expediente sancionador presupone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así como de alegar lo que a su derecho convenga. En este sentido, en la STC 291/2000, de 30 de noviembre (FJ 4), ya declaró el Pleno de este Tribunal que los posibles defectos en la notificación o emplazamiento administrativo, cuando se trate, como en este supuesto acontece, de un acto administrativo sancionador, revisten relevancia constitucional desde la perspectiva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revela la concurrencia, en un primer momento, de las condiciones que con arreglo a nuestra propia jurisprudencia han de darse para que la falta de emplazamiento personal en un expediente sancionador genere una situación de indefensión real: que el no emplazado tenga un derecho subjetivo o interés legítimo que pueda verse afectado por la resolución que se adopte; que haya mantenido una actitud diligente; y, por último, que pudiera ser identificado y emplazado a partir de los datos que obren en el expediente (SSTC 54/2003, de 24 de marzo, FJ 3; 145/2004, de 13 de septiembre, FJ 4; y 175/2007, de 23 de julio, FJ 4). En efecto, por un lado es evidente el interés legítimo de la entidad recurrente en el desarrollo y resultado del expediente sancionador, y también que ningún dato permite afirmar que tuvo conocimiento de su tramitación o que de cualquier otro modo mantuviera una actitud negligente. Por otra parte, es incontrovertible que su domicilio estaba plenamente identificado, tal y como se evidencia al comprobar que la resolución sancionadora sí fue notificada sin dificultad en el local en que se desarrollaba la actividad de la empresa y que es donde había tenido lugar la previa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asimismo tomar en consideración que la demandante, una vez que se le notificó el acuerdo sancionador, interpuso recurso administrativo de reposición contra el mismo, reproduciendo las iniciales alegaciones que no habían sido incorporadas al expediente, las cuales, ahora sí, fueron valoradas expresamente en la resolución de 31 de julio de 2003 que desestimó el recurso de reposición. En consecuencia, la irregularidad inicialmente cometida fue reparada en la misma vía administrativa, evitando así que se consumase una indefensión de carácter material. Esta aptitud de los recursos administrativos para reparar las vulneraciones del derecho de defensa ya fue reconocida por la STC 59/2004, de 19 de abril (FJ 4), en la que también apreciamos que una inicial indefensión causada por la Administración, al no incorporar y valorar el escrito de alegaciones presentado por el interesado, desaparecía si el recurrente había reproducido sustancialmente sus alegaciones en un posterior recurso administrativo y la Administración, al resolver el mismo, las había tomado en consideración (igualmente, ATC 137/2006, de 19 de abril, FJ 2), a diferencia de los supuestos decididos en las SSTC 175/2007, de 23 de julio; y 70/2008, de 23 de junio, en los que, no obstante la interposición de recurso administrativo, la situación de indefensión no fue adecuadamente corregida.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siguiente queja objeto de nuestro enjuiciamiento es la referida a la posible conculcación de la regla de la preferencia o precedencia de la jurisdicción penal sobre la Administración en el conocimiento de aquellos hechos que puedan ser no sólo constitutivos de infracción administrativa sino también penal. Tal situación se habría dado al haber tramitado y resuelto la Administración el procedimiento sancionador pese a que por los mismos hechos se estaban siguiendo diligencias penales en el Juzgado de Instrucción núm. 1 de Leganés, en virtud de denuncia presentada por la propia Consejería de Sanidad de la Comunidad Autónoma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doctrina de este Tribunal fijada, entre otras muchas, en la STC 2/2003, de 16 de enero, FJ 9 (Pleno), que “la infracción por la Administración del deber de paralizar el procedimiento administrativo sancionador si los hechos pueden ser constitutivos de infracción penal tiene relevancia constitucional por cuanto estas reglas plasman la competencia exclusiva de la jurisdicción penal en el conocimiento de los hechos constitutivos de infracción penal y configuran un instrumento preventivo tendente a preservar los derechos a no ser sometido a un doble procedimiento sancionador —administrativo y penal— y a no ser sancionado en más de una ocasión por los mismos hechos”. Por ello, “una vez que el legislador ha decidido que unos hechos merecen ser el presupuesto fáctico de una infracción penal y configura una infracción penal en torno a ellos, la norma contenida en la disposición administrativa deja de ser aplicable y sólo los órganos judiciales integrados en la jurisdicción penal son órganos constitucionalmente determinados para conocer de dicha infracción y ejercer la potestad punitiva estatal”, de modo que “cuando el hecho reúne los elementos para ser calificado de infracción penal, la Administración no puede conocer, a efectos de su sanción, ni del hecho en su conjunto ni de fragmentos del mismo, y por ello ha de paralizar el procedimiento hasta que los órganos judiciales penales se pronuncien sobre la cuestión”. En definitiva, de no hacerse así, la subsunción de los hechos en la disposición administrativa quebranta el principio de legalidad sancionadora (art. 25.1 CE) y la competencia exclusiva de la jurisdicción penal para ejercer la potestad punitiva (art. 25.1 CE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el principio de preferencia de la jurisdicción penal encuentra concreta plasmación en la propia normativa aplicada en este caso por la Administración, al disponer el art. 107.2 de la Ley 25/1990, de 20 de diciembre, del medicamento: “La instrucción de causa penal ante los Tribunales de Justicia suspenderá la tramitación del expediente administrativo sancionador que hubiera sido incoado por los mismos hechos y, en su caso, la eficacia de los actos administrativos de imposición de sanción. Las medidas administrativas que hubieran sido adoptadas para salvaguardar la salud y seguridad de las personas se mantendrán en tanto la autoridad judicial se pronuncie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puesto que la prioridad de la jurisdicción penal se dirige a preservar el principio non bis in idem, la obligación de la Administración de suspender la tramitación del expediente administrativo sancionador tiene como premisa que concurran en los correspondientes procedimientos penal y administrativo una triple identidad subjetiva, objetiva y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circunstancia de que el proceso penal se encuentre todavía en fase de instrucción, sin haber recaído resolución judicial que delimite los eventuales hechos imputados y su calificación penal, dificulta el examen de una posible coincidencia de identidades objetiva y de fundamento entre las actuaciones jurisdiccional y administrativa. Pero no así la comparación de su ámbito subjetivo puesto que resulta obvio que en el presente caso la sanción administrativa recayó sobre una persona jurídica —la sociedad mercantil Acqua Medicina y Cirugía Estética, S.L.— mientras que el proceso penal se ha dirigido necesariamente contra personas físicas. En efecto, así como en el ámbito administrativo el art. 130.1 de la Ley de régimen jurídico de las Administraciones públicas y del procedimiento administrativo común prevé la posibilidad de sancionar a las personas jurídicas por la comisión de hechos constitutivos de infracción administrativa, reconociéndoles, pues, capacidad infractora (en el mismo sentido, STC 246/1991, de 19 de noviembre, FJ 2), por el contrario, en el ámbito penal, hasta la reforma del Código Penal llevada a cabo por la Ley Orgánica 5/2010, de 22 de junio, ha regido en nuestro ordenamiento el principio societas delinquere non potest.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descartado que en el presente caso, dada la fecha en que acaecieron los hechos, la persona jurídica ya sancionada administrativamente pueda llegar a serlo también en el curso del proceso penal, debemos también descartar que exista identidad real entre la mencionada persona jurídica y las personas físicas contra las que se dirige el proceso penal, pues, desde que se otorgó la escritura de su constitución el 21 de noviembre de 2001, son administradores mancomunados de Acqua Medicina y Cirugía Estética, S.L., los cónyuges don José Antonio González-Nicolás Albandea y doña Estrella Tarrasa Ortiz, de los cuales sólo el primero ha prestado declaración como imputado en las actuaciones penales, en el curso de las cuales lo han hecho, además de él, otras diecinueve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ya en el ATC 355/1991, de 25 de noviembre (FJ 5), apreciamos que en el caso allí examinado no se daba la identidad subjetiva entre ambos procesos, toda vez que los acusados en el proceso penal eran dos gerentes de la empresa, mientras que en el expediente administrativo lo era la propia empresa. Posteriormente, en el ATC 357/2003, de 10 de noviembre (FJ 2), afirmamos que “tampoco es posible apreciar la triple identidad requerida, de sujetos, hechos y fundamentos, que se erigen en presupuestos de la interdicción constitucional de incurrir en bis in idem al no darse la identidad subjetiva exigida como presupuesto para la vulneración denunciada cuando en uno de los procesos se sanciona a la persona jurídica empresario y en el otro se sanciona penalmente al representante legal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apreciar la concurrencia de una identidad subjetiva en los procesos administrativo y penal que pudiera dar lugar a la infracción del principio non bis in idem y, en consecuencia, de la regla de prioridad de jurisdicción penal sobre la actividad administrativa sancionadora, sin perjuicio, naturalmente, de lo que finalmente llegue a declararse en su día con valor de cosa juzgada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Descartadas las quejas atinentes a la falta de emplazamiento de la entidad recurrente en el procedimiento sancionador y a la infracción de la regla de preferencia de la jurisdicción penal sobre la actuación administrativa sancionadora, debemos abordar la concerniente a la infracción del derecho a la presunción de inocencia (art. 24.2 CE) que, como es sabido, rige sin excepciones en el procedimiento administrativo sancionador y comporta la exigencia de un acervo probatorio suficiente, recayendo sobre la Administración pública actuante la carga probatoria tanto de la comisión del ilícito como de la participación del interesado (por todas, SSTC 45/1997, de 11 de marzo, FJ 4; y 74/2004, de 24 de abril, FJ 4) y ello sin perjuicio de que no corresponda a este Tribunal la revisión de la valoración del material probatorio, sino sólo llevar a cabo una supervisión externa de la razonabilidad del discurso que enlaza la actividad probatoria con el relato fáctico resultante (por todas, SSTC 117/2002, de 20 de mayo, FJ 9; 131/2003, de 30 de junio, FJ 7; y 82/2009, de 23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demandante niega la comisión de cada una de las infracciones apreciadas por la Administración, afirmando, en síntesis, que los medicamentos y productos utilizados eran de uso legal, siendo adquiridos a los correspondientes laboratorios; que los tratamientos prescritos se ajustaban a la legislación vigente y que nunca se ha impuesto a los pacientes la adquisición de los tratamientos en una oficina de farmacia determinada. Por el contrario, la Administración consideró acreditados los hechos a la vista del acta levantada por sus servicios de inspección en la visita realizada el 22 de julio de 2002 al establecimiento donde desarrollaba su actividad la entidad demandante de amparo.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apreciación de la primera de las infracciones [falta muy grave del art. 108.2 c) l, consistente en la adquisición, prescripción y dispensación de medicamentos no autorizados por la Administración sanitaria] resulta de la intervención en el establecimiento de la demandante de ochenta y dos ampollas homeopáticas elaboradas por el laboratorio Simildiet, S.L., sin que dichos medicamentos homeopáticos figurasen registrados por el indicado laboratorio en cumplimiento de la disposición transitoria segunda del Real Decreto 2208/1994, regulador de los medicamentos homeopáticos para uso humano de fabricación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determinación de los hechos que dieron lugar a la apreciación de la segunda de las infracciones [falta grave del art. 108.2 b) 21, en la cual la Administración subsumió la prescripción de un tratamiento farmacológico a base de sustancias medicinales cuya prescripción simultánea considera prohibida por la Orden de 14 de febrero de 1997] se sustenta en el contenido de las recetas halladas con motivo de la misma inspección (folios 17 a 23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sanción de la falta grave del art. 108.2 b) 17 (consistente en la connivencia con oficinas de farmacia para la elaboración y dispensación de los tratamientos indicados), se sustenta en la intervención de dos documentos (folios 13 y 14 del expediente administrativo) en lo que se consigna: “Por la presente, solicito al Dr. González-Nicolás que haga las gestiones precisas para que en la farmacia [espacio en blanco] se vaya elaborando la fórmula magistral que me ha prescrito, bien entendido que el/la destinatario/a de la fórmula es el/la firmante y que esta solicitud no es óbice para que pueda escoger la farmacia que en cada momento prefiera para la preparación de las fórmulas que me prescribe el Dr. González-Nicolás, el cual me ha informado ampliamente de los principales establecimientos que preparan fórmulas, eligiendo el/la firmante la farmacia [espacio en blanco]. En Madrid, a [espacio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determinación de los hechos posteriormente sancionados por la Administración se sustenta en la documentación y medicamentos encontrados en el establecimiento de la entidad demandante en el curso de la visita de inspección realizada. En este sentido conviene recordar que es doctrina reiterada de este Tribunal que las actas de inspección o infracción, en las que los funcionarios competentes consignan los hechos que observan en el curso de sus comprobaciones e investigaciones, pueden ser consideradas por la Administración como medios de prueba capaces de destruir la presunción de inocencia, sin perjuicio de que no gocen de mayor relevancia que los demás medios de prueba admitidos en Derecho y, por ello, no hayan de prevalecer necesariamente frente a otras pruebas que conduzcan a conclusiones distintas (SSTC 76/1990, de 26 de abril, FJ 8; 14/1997, de 28 de enero, FJ 7; y 35/2006, de 13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mencionada doctrina determina la desestimación de esta queja, ya que existe, sin duda alguna, actividad probatoria de cargo, válida y suficiente para enervar la presunción de inocencia de la entidad recurrente. Ahora bien, ese valor probatorio sólo puede referirse a los hechos comprobados directamente por el funcionario, quedando fuera de su alcance las calificaciones jurídicas, los juicios de valor o las simples opiniones que los inspectores consignen en las actas y diligencias (STC 76/1990, de 26 de abril, FJ 8), de modo que aunque rechacemos la queja referida a la vulneración del derecho a la presunción de inocencia (art. 24.2 CE), ello no excluye la necesidad de examinar a continuación si la subsunción de esos hechos en el correspondiente precepto sancionador se ha hecho en términos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exclusivamente en relación con la segunda de las sanciones impuestas [por la comisión de una falta grave prevista en el art. 108.2 b) 21 de la Ley 25/1990, de 20 de diciembre, del medicamento] se alega en la demanda de amparo la vulneración de los principios de legalidad y de tipicidad (art. 25.1 CE), aduciéndose que los hechos que la Administración declara probados no son subsumibles en tal infracción, así como una palmaria equivocación en la interpretación de la Orden de 14 de febrero de 1997 por la que se establecen determinados requisitos en la prescripción y dispensación de formulas magistrales y preparados oficinales para tratamientos peculiares; y añadiéndose, por último, que resulta inconstitucional que la ley se remita a lo que disponga una simple orden ministerial en cuestiones que afectan a la libertad de ejercicio profesional de los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 preciso enjuiciar la labor de interpretación y subsunción realizada en las resoluciones impugnadas, dado que la posibilidad de que se produzca una vulneración del art. 25.1 CE como consecuencia de las pautas interpretativas empleadas para la subsunción de la conducta en el tipo de la infracción ha sido expresamente contemplada por este Tribunal, afirmando que la validez constitucional de la aplicación de las normas sancionadoras depende tanto del respeto al tenor literal del enunciado normativo, que marca en todo caso una zona indudable de exclusión de comportamientos, como de su previsibilidad (SSTC 151/1997, de 29 de septiembre, FJ 4; y 236/1997, de 22 de diciembre, FJ 3), hallándose en todo caso vinculadas por los principios de legalidad y de seguridad jurídica. De este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(por todas, STC 111/2004, de 12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resoluciones impugnadas estiman acreditado que se realizó la prescripción de tratamientos farmacológicos a base de sustancias medicinales cuya prescripción simultánea consideran prohibida por la Orden de 14 de febrero de 1997, que en su art. 2.2 dispone que “no se podrán asociar sustancias medicinales de las incluidas en el art. 1 de esta Orden (esto es, sustancias medicinales con acciones anorexígenas, psicotrópicas, hormonales, laxantes y diuréticas solas o asociadas) entre sí o con otras sustancias medicinales en una misma fórmula magistral o preparado oficinal. Excepcionalmente se podrá prescribir una asociación de dos de estas sustancias, debiendo acompañar con la prescripción un informe haciendo constar la necesidad de esta asociación, así como su eficacia y seguridad para el tratamiento peculiar que se implanta”.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Administración, si bien la prescripción de estos medicamentos en el presente caso se realizó en recetas separadas, incluyendo, según los hechos consignados en las actas de inspección, un psicótropo en una, una asociación de diuréticos y laxantes en otra y un anoréxico en la tercera, no debe olvidarse que se prescribían en un solo acto médico para que se administraran simultáneamente, precisamente para que tal administración conjunta actuara sobre la patología específica del paciente, en este caso el sobrepeso, con el riesgo que para la salud puede suponer el consumo conjunto de dichas sustancias, las cuales presentan incompatibilidades entre sí o pueden provocar reacciones adversas.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entidad demandante sostuvo en la vía judicial (fundamento jurídico quinto de la demanda contencioso-administrativa), como vulneración del principio de tipicidad, que las infracciones imputadas no aparecen subsumidas en el art. 108 de la Ley del medicamento. En la demanda de amparo, ahora como infracción del principio de legalidad, se aduce que “no se pretende que el Tribunal Constitucional entre a conocer de nuevo los hechos, sino que valore el encaje que de los mismos se hace. … Es este es el motivo básico en el que se sustenta nuestro recurso, por ser la violación más clara. Mi mandante no pudo cometer infracción por su actuación no se encuentra tipificada como infracción en norma alguna” (fundamento de derecho procesal II) concretando posteriormente que “los tratamientos prescritos por los facultativos médicos de la clínica figuran en recetas diferentes, no presentan incompatibilidades, dan lugar a su elaboración en cápsulas diferentes y se recogen en un informe de cada paciente; además, tales tratamientos no han durado nunca más de tres meses, dado que se cambiaba continuamente, así como los principios activos, debido a que los mismos tienen diferentes mecanismos de acción, utilizándose un principio u otro en función de las necesidades o particularidades del paciente” (fundamento jurídico tercero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delimitados los planteamientos de las partes, resulta obvio que la interpretación por este Tribunal Constitucional del art. 2.2 de la Orden ministerial de 14 de febrero de 1997 —que en sí mismo no es de carácter sancionador— sólo es pertinente en la medida en que su incumplimiento se configure como elemento integrante del tipo infractor aplicado por la Administración: el art. 108.2 b) 21 de la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que dicho precepto sanciona es “la reincidencia en la comisión de infracciones leves, así como la comisión de alguna de las infracciones calificadas como leves cuando concurran de forma grave las circunstancias previstas en el apartado 1 de este artículo”, esto es, “riesgos para la salud, cuantía del eventual beneficio obtenido, grado de intencionalidad, gravedad de la alteración sanitaria y social producida, generalización de la infracción y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precepto contempla dos conductas distintas: una, consistente en “la reincidencia en la comisión de infracciones leves”; otra, la comisión de una falta leve pero concurriendo alguna de las circunstancias agravantes previstas en el transcrito apartado 1 del mismo art. 108, siendo necesario, además, que la propia circunstancia de que se trate “concurra de forma grave”. Así pues, cualquiera de los dos supuestos tipificados en el precepto se sustenta en la inicial apreciación de una infracción leve, a la que ha de añadirse: o bien la reincidencia derivada de la comisión de otra infracción leve; o bien la concurrencia —de forma grave— de alguna de las circunstancias agravatorias que se han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 la resolución sancionadora identifica —ni la Sentencia impugnada se lo reprocha— cuáles son los datos en los que pudiera fundarse una reincidencia en la comisión de infracciones leves, ni concreta circunstancia agravante alguna que permitiera en este caso cualificar una infracción leve. Carencia de explicación o mínima referencia que podría cuestionar la aplicación del art. 108.2 b) 21 de la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entidad recurrente en su escrito de demanda se ha limitado a rebatir la interpretación del art. 2.2 de la Orden de 14 de febrero de 1997, realizada por la Administración sancionadora sin alusión alguna a esta ausencia de precisión de las resoluciones impugnadas respecto a la correspondencia de los hechos con el tenor legal de la infracción prevista en el art. 108.2 b) 21 de la Ley 25/1990, de 20 de diciembre, del medicamento. Si bien, la infracción del art. 2.2 referido podría constituir una de las infracciones leves previstas en la Ley del medicamento, la discusión sobre la interpretación de legalidad de dicho precepto queda fuera de este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denegar el amparo solicitado, ya que las alegaciones de la entidad recurrente sobre la vulneración del principio de legalidad (art. 25.1 CE) se realizan de forma general sin proyectarse en el alcance de la vulneración respecto al tenor legal del art. 108.2 b) 21, cuya aplicación motiva la presente queja. La carencia de una precisa invocación al respecto, tanto en la vía judicial como en la demanda de amparo, conduce a que proceda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 afirma por la entidad recurrente que resulta inconstitucional que la ley se remita a lo que disponga una simple orden ministerial (la tan citada Orden de 14 de febrero de 1997) en cuestiones que afectan a la libertad de ejercicio profesional de los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queja debe ser rechazada pues a este respecto tenemos dicho que no atañe al derecho a la legalidad sancionadora la falta de rango que ex art. 36 CE pueda tener la norma que integre los tipos infractores, pues la invocación de una específica previsión constitucional al respecto, la del art 36 CE (“La ley regulará … el ejercicio de las profesiones tituladas”), no convierte esta cuestión en una materia propia del art. 25.1 CE. Se trata de una cuestión que, por sí misma, es ajena al derecho fundamental concernido, por cuanto el mero hecho de que la norma de complemento aplicada para integrar la tipificación de una infracción careciese de rango legal, ello no incide en las garantías que acoge el art. 25.1 CE (por todas, SSTC 50/2003, de 17 de marzo, FJ 4; 283/2006, de 9 de octubre, FJ 5; y 181/2008, de 22 de diciembre,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solicitado por Acqua-Medicina y Cirugía Estética, S.L.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