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marzo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noviembre de 2004 tuvo entrada en el Registro General de este Tribunal un escrito del Juzgado de Primera Instancia núm. 2 de San Bartolomé de Tirajana, al que se acompaña, junto al testimonio del correspondiente procedimiento, Auto de dicho Juzgado de 2 de noviembre de 2004 planteando cuestión de inconstitucionalidad en relación con el apartado cuatro de la disposición transitoria única de la Ley del Parlamento de Canarias 5/1999, de 15 de marzo, que modifica la Ley 7/1995, de 6 de abril, de ordenación del turismo de Canarias, por posible vulneración de los arts. 14 y 149.1.8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una demanda en materia de retracto de comuneros interpuesta por una entidad mercantil a fin de que se declarase su derecho a retraer una vivienda que había sido adquirida por un particular mediante compraventa. Seguido el expediente en sus trámites, el Juzgado de Primera Instancia núm. 2 de San Bartolomé de Tirajana, mediante providencia de 13 de abril de 2004 confirmada en reposición por Auto de 27 de julio de 2004, acordó oír a las partes y al Ministerio Fiscal para que pudieran alegar sobre la pertinencia de plantear cuestión de inconstitucionalidad respecto al apartado cuatro de la disposición transitoria única de la Ley del Parlamento de Canarias 5/1999, de 15 de marzo, que modifica la Ley 7/1995, de 6 de abril, de ordenación del turismo de Canarias, en cuanto que dicho precepto sería contrario a los arts. 14 y 149.1.8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actora se opuso a la formalización de la cuestión de inconstitucionalidad, mientras que la parte demandada y el Ministerio Fiscal se mostraron partidarios de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28 de septiembre de 2004 el Juzgado de Primera Instancia núm. 2 de San Bartolomé de Tirajana formaliza la cuestión de inconstitucionalidad en relación con el apartado cuatro de la disposición transitoria única de la Ley 5/1999, que modifica la Ley 7/1995, de ordenación del turismo de Canarias. El órgano judicial consideró que el precepto legal cuestionado podría ser contrario al art. 149.1.8 CE, en lo referente a la competencia estatal exclusiva en materia de legislación civil, salvo en lo referente a los derechos civiles forales o especiales, sin que al día de hoy la Comunidad Autónoma de Canarias tenga competencia en tal materia; así como al art. 14 CE, en cuanto a la exclusión que se hace del derecho a retraer respecto de los propietarios que no se dediquen a la explotación de sus inmuebles. Formula a continuación, sucintamente, diversas razones por las que entiende que, sin embargo, no se infringirían por el precepto legal cuestionado los arts. 24, 38, 47, 53 y 149.1.6 CE. Finaliza exponiendo que la cuestión suscitada no puede resolverse por vía interpretativa, puesto que lo que se debate es la competencia de la Comunidad Autónoma para dictar la norma y que ésta sería esencial para resolver el litigio, dado que lo que ejerce la parte actora es una pretensión de retracto fundada en dicha norma, pretensión que debiera ser desestimada si la tan referida norma fuera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 de febrero de 2005 la Sección Tercera del Tribunal Constitucional acordó admitir a trámite la cuestión de inconstitucionalidad y dar traslado de las actuaciones, conforme dispone el art. 37.2 de la Ley Orgánica del Tribunal Constitucional, al Congreso de los Diputados y al Senado, al Gobierno y al Fiscal General del Estado, así como al Gobierno y al Parlamento de Canarias al objeto de que en plazo de quince días pudieran personarse en el proceso y formular alegaciones. También se acordó publicar la incoación de la cuestión en el “Boletín Oficial del Estado” y en el “Boletín Oficial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21 de febrero de 2005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el día 22 de febrero de 2005 señalando que se personaba en el proceso únicamente a los efectos de que se le notificasen las resoluciones que en él se dicten.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24 de febrero de 2005 el Presidente del Senado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3 de marzo de 2005 la Directora general del servicio jurídico del Gobierno de Canarias, en la representación que ostenta, evacuó el trámite de alegaciones concedido solicitando a este Tribunal Constitucional que dictara Sentencia en la que se desestimase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Letrado-Secretario General del Parlamento de Canarias presentó sus alegaciones mediante escrito registrado el día 3 de marzo de 2005 en el que interesa la desestimación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8 de marzo de 2005 el Fiscal General del Estado formuló sus alegaciones interesando de este Tribunal Constitucional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Primera Instancia núm. 4 de San Bartolomé de Tirajana plantea cuestión de inconstitucionalidad en relación con el apartado cuatro de la disposición transitoria única de la Ley 5/1999, de 15 de marzo, del Parlamento de Canarias, de modificación de la Ley 7/1995, de 6 de abril, de ordenación del turismo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28/2012, de 1 de marzo, estimatoria de la cuestión de inconstitucionalidad núm. 6548-2001, promovida por el Juzgado de Primera Instancia núm. 7 de San Bartolomé de Tirajana y dictada con posterioridad a la admisión a trámite de la presente cuestión, este Tribunal ha declarado inconstitucional y nulo el apartado cuatro de la disposición transitoria única de la Ley 5/1999, de 15 de marzo, del Parlamento de Canarias, de modificación de la Ley 7/1995, de 6 de abril, de ordenación del turismo de Canarias,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381/2008, de 15 de diciembre,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7146-2004,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