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17 de abril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9 de diciembre de 2011 el Abogado del Estado, en nombre del Presidente del Gobierno, planteó recurso de inconstitucionalidad contra los apartados 1 y 2 del artículo 6 y el artículo 10 —en particular sus apartados 2 c), 2 d), y 2 f)— de la Ley 3/2011, de 24 de febrero, de medidas en materia de contratos del sector público de Aragón. En el escrito de demanda hizo invocación expresa del art. 161.2 CE, a los efectos de que se acordase la suspensión de la vigencia y aplicación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20 de diciembre de 2011 el Pleno del Tribunal Constitucional, a propuesta de la Sección Segunda, acordó admitir a trámite el recurso de inconstitucionalidad promovido por el Presidente del Gobierno y dar traslado de la demanda y documentos presentados, conforme establece el art. 34 de la Ley Orgánica del Tribunal Constitucional (LOTC), al Congreso de los Diputados y al Senado por conducto de sus Presidentes, así como a la Diputación General de Aragón y a las Cortes de Aragón por conducto de sus Presidentes, al objeto de que, en el plazo de quince días, pudieran personarse en el proceso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tuvo por invocado por el Presidente del Gobierno el art. 161.2 CE lo que, según su tenor literal y conforme dispone el art. 30 LOTC, produce la suspensión de la vigencia y aplicación de los preceptos impugnados desde la fecha de interposición del recurso —9 de diciembre de 2011— para las partes del proceso y desde el día en que aparezca publicada la suspensión en el “Boletín Oficial del Estado” para los terceros. Finalmente, se acordó publicar la incoación del recurso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que tuvo entrada en este Tribunal el día 2 de enero de 2012, comunicó que la Mesa de la Cámara, en su reunión del día 28 de diciembre, había acordado la personación de la Cámara en este procedimiento, ofreciendo su colaboración a los efectos del art. 88.1 LOTC. Lo mismo hizo el Presidente del Senado por escrito registrado el 18 de enero de 2012 y en el que recogía el correspondiente acuerdo de la Mesa de la Cámara de fecha 17 de enero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que tuvo entrada en el Registro General de este Tribunal Constitucional el día 18 de enero de 2012 la Letrada Mayor de las Cortes de Aragón, en representación de esta Cámara, se personó en el proceso, solicitando una prórroga del plazo legal concedido para formular alegaciones por ocho días más. El Pleno del Tribunal Constitucional, mediante providencia de 18 de enero de 2012 concedió la prórroga solicitada por la Letrada Mayor de las Cortes de Aragón, que finalmente presentó escrito de alegaciones ante el Tribunal Constitucional el 31 de enero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Letrada de la Comunidad Autónoma de Aragón, en representación del Gobierno de Aragón presentó las oportunas alegaciones al recurso de inconstitucionalidad núm. 6720-2011 mediante escrito que tuvo entrada en el Tribunal Constitucional el 18 de enero de 2012, interesando la desestimación del recurso y oponiéndose, por tanto,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Próximo a finalizar el plazo de los cinco meses que señala el art. 161.2 CE desde que se produjo la suspensión de los preceptos impugnados, el Pleno del Tribunal Constitucional, por providencia de 28 de febrero de 2012, acordó oír al Abogado del Estado, al Gobierno de Aragón y a las Cortes de Aragón, para que, en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de alegaciones conferido mediante escrito registrado en fecha 6 de marzo de 2012, que, en lo sustancial, sostiene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Abogado del Estado recuerda la doctrina del Tribunal Constitucional en relación con el mantenimiento o levantamiento de la suspensión de la vigencia de una norma con rango de ley contra la que se ha interpuesto un recurso de inconstitucionalidad, evocando, entre otros el ATC 1269/1988, de 22 de noviembre, en que se dice que el levantamiento o mantenimiento de la suspensión “ha de ser el resultado de ponderar las consecuencias que de una u otra decisión deriven sobre los intereses públicos y, en su caso, los particulares que puedan resultar afectados, con el fin de determinar cuáles deben prevalecer por ser menos resistentes al perjuicio o acreedores de una protección preferente, y cuáles deben ceder por su lesión menos onerosa o de menor incidencia a su sacrificio en caso de colisión” (FJ 1). En este contexto el Abogado del Estado afirma que lo que con más frecuencia el Tribunal debe examinar no son las situaciones de hecho creadas, sino las situaciones de hecho que previsiblemente podría provocar la aplicación de la ley recurrida, puesto que el breve plazo constitucional y legalmente previsto para interponer un recurso de inconstitucionalidad supone, en la práctica, que difícilmente una ley recurrida cuya vigencia ha sido suspendida pueda haber creado situaciones de hecho perjudiciales.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al hilo del argumento previamente expuesto se recuerda que, según el ATC 105/2010, de 29 de julio, aunque la invocación de una quiebra en la seguridad jurídica por la inmediata vigencia de los preceptos autonómicos recurridos no resulta suficiente para acordar el mantenimiento de su suspensión, ya que en tal caso quedaría comprometida la presunción de constitucionalidad de las leyes autonómicas, en determinados supuestos la ruptura del principio de seguridad jurídica puede justificar el mantenimiento de la suspensión de los preceptos recurridos, en función de la gravedad de los perjuicios que esa ruptura pudiera ocasionar. El Abogado del Estado aprovecha este argumento para afirmar que, en el presente caso, las consecuencias que tendría la entrada en vigor de los preceptos autonómicos recurridos para la seguridad jurídica en la contratación administrativa justificarían por sí solas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recordar los motivos de impugnación de los arts. 6 y 10 de la Ley 3/2011, de 24 de febrero, de medidas en materia de contratos del sector público de Aragón, se afirma, respecto de los perjuicios generales que ocasionaría el levantamiento de la suspensión de los preceptos autonómicos impugnados, que los mismos están relacionados con la específica función que las bases estatales en materia de contratación tienen constitucionalmente atribuida, esto es, proporcionar garantías de publicidad, igualdad, libre concurrencia y seguridad jurídica que aseguren a los ciudadanos un tratamiento común por parte de todas las Administraciones públicas (STC 131/1993, de 22 de abril, FJ 5). El Abogado del Estado afirma que el levantamiento de la suspensión de los preceptos impugnados supone que los potenciales contratistas puedan resultar sorprendidos en su confianza legítima cuando, actuando conforme a la legislación básica que entienden aplicable a todas las Administraciones públicas, la Comunidad de Aragón los excluya de alguna licitación o admita, en su perjuicio, competidores que deberían haber sido excluidos, perjuicios estos que, además, serían irreversibles.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los perjuicios específicos, el Abogado del Estado entiende que la inmediata aplicación del art. 6 de la Ley aragonesa 3/2011 puede determinar que resulten admitidos licitadores que debieran haber quedado excluidos por no acreditar debidamente los requisitos de capacidad y personalidad, lo que puede suponer la adjudicación del contrato a un licitador que debió quedar excluido, en perjuicio de quien cumplió todos los requisitos de la legislación básica estatal, siendo evidentes, en este caso los perjuicios para los intereses particulares de los eventuales contratistas. Por su parte la inmediata aplicación del art. 10 supondría la adjudicación de infinidad de contratos a través de un procedimiento inconstitucional por contrario a la legislación básica estatal, eventualmente con la exclusión de quienes, confiando en la aplicación de la legislación estatal, se rigiera por los plazos establecidos por la legislación estatal, más amplios que los previstos en la impugnada normativa autonómica, o desconocieran la licitación por ignorar la posibilidad, prevista también en la normativa autonómica objeto de recurso, de que esa licitación se publicara exclusivamente en el perfil de contratante del poder adjudicador, sin pasar por el “Boletín Oficial del Estado” o diarios oficiales autonómicos o provinciales.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Letrada Mayor de las Cortes de Aragón presentó sus alegaciones el 9 de marzo de 2012, interesando el levantamiento de la suspensión de la vigencia de los preceptos recurridos, amparándose para ello en la presunción de constitucionalidad y legitimidad de las leyes autonómicas, con cita de los AATC 137/2002, de 22 de julio, 251/200, de 18 de septiembre, y 217/1999, de 15 de septiembre. La Letrada de Cortes recuerda que el objetivo de las normas impugnadas es flexibilizar requisitos y simplificar trámites administrativos, favoreciendo la concurrencia al liberar al empresario de determinados trámites y costes sin, a su juicio, vulnerar las garantías en materia de contratación ni los principios básicos que la informan, razones por las cuales se entiende que ningún perjuicio irreparable se causará a ningún tercero por razón de la vigencia de preceptos que prevén reducciones de plazos o simplificación de requerimientos documentales, simplificaciones que se aplicarán a todos los licitadores en condiciones de igualdad, cuya publicidad se garantiza a través de la publicación de las licitaciones y los pliegos.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el Tribunal Constitucional el 9 de marzo de 2012, la Letrada de la Comunidad Autónoma de Aragón, en representación del Gobierno de Aragón, interesa también el levantamiento de la suspensión de la vigencia de las disposiciones autonómicas impugnadas, basándose en la presunción de legalidad y ejecutividad de los actos legislativos de la Comunidad Autónoma mientras no se resuelva el recurso de inconstitucionalidad planteado. Esta presunción, a juicio de esta parte, conlleva que corresponde al recurrente justificar la necesidad de mantener la medida cautelar de suspensión, no bastando al afecto las meras alegaciones de perjuicios al interés público, dándose la circunstancia de que, en este caso, el Abogado del Estado únicamente invoca el artículo 161.2 de la Constitución pero sin justificar los perjuicios que al interés público generaría el levantamiento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distintos apartados de los arts. 6 y 10 de la Ley 3/2011, de 24 de febrero, de medidas en materia de contratos del sector público de Aragón, que se encuentra suspendida en su aplicación como consecuencia de la invocación del art. 161.2 CE, al promoverse el recurso de inconstitucionalidad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6, primero de los impugnados, dispone en su apartado 1 que, “en los procedimientos negociados y simplificados en los que se haya optado por no constituir mesa de contratación, el pliego de cláusulas administrativas particulares o documento equivalente podrá permitir a los licitadores que sustituyan la documentación acreditativa del cumplimiento de los requisitos previos por la presentación de la declaración responsable suscrita por el licitador o su representante, reconociendo que cumple los requisitos de capacidad, representación y solvencia exigidos y comprometiéndose a acreditarlos en caso de que vaya a ser propuesto como adjudicatario”. Entiende el Abogado del Estado que esta previsión resulta contraria a la contenida en el artículo 146.1 del Real Decreto Legislativo 3/2011, de 14 de noviembre, por el que se aprueba el texto refundido de la Ley de contratos del sector público, que regula la presentación de la documentación acreditativa del cumplimiento de ciertos requisitos por parte de los interesados en los procedimientos abierto, restringido y negociado y en el diálogo competitivo, exigiendo que tal documentación se aporte junto con las proposiciones o solicitudes de participación, según los casos. Por otro lado, el apartado 2 de este mismo artículo 6 dispone que, “con carácter previo a la adjudicación del contrato, se requerirá al que vaya a ser propuesto como adjudicatario para que aporte la documentación acreditativa de su capacidad, representación y solvencia en el plazo de cinco días hábiles”. Esta previsión se estima contraria a lo dispuesto en el art. 151.2 del texto refundido de la Ley de contratos del sector público que prevé un plazo mínimo de 10 días hábiles para que el licitador presente la documentación justificativa de estar al corriente en el cumplimiento de sus obligaciones tributarias y con la Seguridad Social, permitiendo a las Comunidades Autónomas fijar un plazo mayor, pero no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art. 10 de la Ley aragonesa regula el denominado “procedimiento simplificado de adjudicación de contratos”, al que pueden recurrir determinadas entidades cuando celebren contratos de suministro y de servicios cuyo valor estimado sea inferior a 150.000 euros o contratos de obras de importe inferior a 2.000.000 de euros. El Abogado del Estado cuestiona la constitucionalidad de este precepto, toda vez que el art. 138 del texto refundido de la Ley de contratos del sector público establece que “la adjudicación se realizará, ordinariamente, utilizando el procedimiento abierto o el procedimiento restringido” y añade que en determinados supuestos podrá seguirse el procedimiento negociado o recurrirse al diálogo competitivo. La norma estatal contiene, según el Abogado del Estado, una enumeración cerrada de procedimientos de adjudicación que no admite la creación de nuevos procedimientos alternativos, razón por la cual se considera que el precepto autonómico en cuanto regula un nuevo procedimiento de licitación vulnera la legislación básica del Estado. Asimismo el Abogado del Estado resalta la singular contradicción de los apartados 2 c), 2 d) y 2 f) del art. 10 de la Ley aragonesa 3/2011 con la legislación básica estatal en la regulación concreta sobre publicidad y plazos, fundamentalmente, que se recoge en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en el recurso de inconstitucionalidad del que trae causa el presente incidente de mantenimiento o levantamiento de la suspensión se ha sostenido por el Abogado del Estado la vulneración de la competencia estatal en materia de legislación básica sobre contratos ex art. 149.1.18 CE por cuanto los preceptos impugnados serían contrarios a previsiones estatales básicas contenidas en los arts. 138, 142, 146, 151 y 159 del texto refundido de la Ley de contratos del sector público, que, en tanto que normas básicas, serían de aplicación a todas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Procede, por tanto, que realicemos la ponderación que es propia de este incidente cautelar, recordando que han de resultar ajenas a tal ponderación consideraciones que traten de vincular el levantamiento o ratificación de la suspensión a la solución que, en su caso, pudiera darse a la cuestión de fondo objeto del debate sobre el que versa el proceso, dado que ninguna relevancia puede tener en la resolución que ahora vayamos a adoptar, necesariamente desvinculada de la que en su día haya de adoptarse sobre el debate de fondo (en este sentido ATC 114/2011, de 19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ha de tenerse en cuenta que la valoración que nos compete ha de efectuarse mediante el estricto examen de las situaciones de hecho creadas,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AATC 24/2011, de 3 de marzo, FJ 2; y 44/2011, de 12 de abril, FJ 2). En el caso que nos ocupa esto supone que sea preciso demostrar, más allá de la simple discrepancia entre lo dispuesto en las dos normas que han entrado en conflicto, que la aplicación de los procedimientos de licitación establecidos en los dos preceptos impugnados va a provocar perjuicios de imposible o difícil reparación en los intereses públicos o en los de ciudadanos afectados por la norma en cuestión que justifiquen el mantenimiento de la suspensión inicialmente acordada (ATC 114/2011, de 19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Teniendo en cuenta ambas cuestiones previas este Tribunal debe reconocer que no se dan, en este caso, las condiciones precisas para mantener la suspensión de la vigencia de la norma impugnada, puesto que no es posible apreciar que el levantamiento de la suspensión vaya a producir perjuicios de imposible o difícil reparación ni en intereses generales ni en interés particular alguno, debiendo prevalecer por tanto la presunción de constitucionalidad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los intereses generales que podrían verse afectados de levantarse la suspensión de las disposiciones impugnadas el Abogado del Estado se refiere al interés de preservar la seguridad jurídica en materia de contratación administrativa. Evoca además el Abogado del Estado el ATC 105/2010, de 29 de julio, en el cual el Tribunal reconoce que, en ocasiones, el quebranto de la seguridad jurídica puede ser causa del mantenimiento de la suspensión de una norma autonómica. Aunque esto es cierto, es preciso recordar que aquel pronunciamiento parte de una doctrina constitucional suficientemente consolidada respecto del hecho de que “en los incidentes de mantenimiento o alzamiento de la suspensión correspondientes a estos litigios competenciales si el argumento de los perjuicios ligados a la quiebra de la seguridad jurídica prevaleciera en su sola consideración, siempre habría de mantenerse la suspensión de las normas autonómicas, con la consiguiente afectación a la presunción de legitimidad de aquellas (ATC 156/2008, de 12 de junio, FJ 6, entre otros muchos)” (ATC 105/2010, de 29 de julio, FJ 4). A partir de ahí el Tribunal Constitucional reconoce la concurrencia de excepciones a tal principio general, siendo una de esas excepciones la referida al mantenimiento de la suspensión de normas que regulasen instituciones creadas para garantizar la seguridad jurídica preventiva en el tráfico jurídico. En el caso a que se refiere el ATC 105/2010, de 29 de julio, la norma autonómica impugnada, y cuya suspensión se mantuvo en dicho pronunciamiento, se refería a instituciones previstas para garantizar el tráfico jurídico-privado, puesto que regulaban la inscripción de determinados títulos o cláusulas concretas en materia de Derecho catalán en un registro de la propiedad, mercantil o de bienes muebles de Cataluña. En el caso que nos ocupa el Abogado del Estado afirma que el procedimiento de contratación pública es también una institución destinada a garantizar la seguridad jurídica, y de hecho el propio Tribunal así lo ha reconocido en la STC 141/1993, de 22 de abril, al reconocer que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(FJ 5). Ahora bien, esta proclamación supone reconocer cuál es la virtualidad de un procedimiento de contratación administrativa previamente establecido y conocido por los administrados, lo que implica tanto como decir que cualquier procedimiento de contratación está orientado a garantizar la seguridad jurídica de esos administrados. En este caso, y sin que ello presuponga cuestionar la regularidad de la normativa básica, existe un procedimiento concreto, el previsto por la normativa autonómica y que es el fija el contenido de la licitación; el que haya dudas sobre el ajuste del mismo a la normativa básica no supone que no exista procedimiento, o que su vigencia atente contra la seguridad jurídica de los sujetos que deban seguirlo que, sabiendo que es un procedimiento válido en tanto no se diga lo contrario, o en tanto no se modifique, sencillamente deberán sujetarse a él. Dicho de otro modo, recuperar la vigencia de la norma impugnada no supone un ataque a la seguridad jurídica de calado suficiente como para mantener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como ya hemos dicho en pronunciamientos previos, “con la argumentación utilizada por el Abogado del Estado bastaría con que la norma autonómica impugnada en el proceso principal contradijera lo dispuesto en otra estatal no cuestionada constitucionalmente para que resultase procedente el mantenimiento de la suspensión de la primera” (ATC 156/2008, de 12 de junio, FJ 6) y, sin embargo, esto no es así. Las diferencias de procedimiento diseñadas por el legislador estatal y por el legislador autonómico respecto de la contratación con las Administraciones públicas obedecen, evidentemente, a la existencia de dos normas diferentes, pero esa duplicidad no conlleva, por si misma, la existencia de inseguridad jurídica y tampoco conlleva, en este caso “perjuicios que determinen la decisión relativa al mantenimiento o levantamiento de la suspensión acordada, pues de lo que se trata en este incidente es de demostrar que, más allá de la existencia de un conflicto entre dos normas, aparecen concretos perjuicios irreparables derivados de la vigencia y aplicación de la norma autonómica durante la pendencia del proceso” (por todos AATC 156/2008, de 12 de junio, FJ 6; y 161/2011, de 22 de noviembre,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y en lo relativo a los intereses particulares, el Abogado del Estado se refiere a la preservación de los intereses de los eventuales solicitantes de una licitación, que, considerando aplicable la normativa básica estatal y no la normativa autonómica, respondieran a los plazos y procedimientos establecidos en aquélla quedando fuera de un concurso, o que, en la misma línea de razonamiento, se vieran desplazados por solicitantes que, debiendo haber quedado fuera de una licitación en aplicación de la normativa estatal, hubieran sido admitidos en aplicación de la normativa autonómica resultando finalmente adjudicatarios del concurso en perjuicio de quienes eventualmente hubieran respetado la normativa estatal básica. A juicio de este Tribunal es patente “que tales intereses no pueden prevalecer sobre la presunción de legitimidad constitucional que caracteriza a la ley autonómica hasta que nos pronunciemos sobre el fondo de la cuestión” (ATC 181/2011, de 13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nuestro juicio, los perjuicios a los que se refiere el Abogado del Estado “se formulan de un modo marcadamente hipotético ya que en ningún momento se aportan datos concretos o estimación cuantitativa que permita su ponderación, de modo que no es posible considerar que su aplicación genere por sí misma perjuicios ciertos y efectivos que justifiquen el mantenimiento de su suspensión frente a la presunción de validez y constitucionalidad de la que el precepto legal goza en atención a su origen” (ATC 181/2011, de 13 de diciembre, FJ 3). Pensar que los participantes en una licitación de un contrato público atenderán antes a la ley estatal básica que a la ley autonómica que rige directamente el contrato convocado por la Administración aragonesa, y que será la que se reproduzca con toda seguridad en las licitaciones y, en su caso, en el pliego de condiciones de la contratación, es imaginar una hipótesis respecto de la cual no se aportan datos suficientes como para considerarla viable. Plantear a su vez que el adjudicatario final del contrato hubiera debido ser, precisamente, un solicitante de los que habrían considerado aplicable la ley estatal básica, y que la aplicación de la ley autonómica habría dejado fuera de la licitación, es plantear también hipótesis difícilmente verificables. Ha de recordarse que las normas impugnadas no hacen sino modificar normas de procedimiento para agilizar y simplificar trámites, lo que no influye, más que de forma indirecta, en la decisión final sobre la adjudicación de un contrato determinado. En suma, no parece que exista aquí un perjuicio verdaderamente irreparable o de muy difícil reparación. Además, en todo caso, si las hipótesis que plantea el Abogado del Estado se verificasen, y se produjeran efectivamente perjuicios a los intereses particulares, los que aquí se alegan “son de carácter patrimonial y, por tanto, susceptibles de reparación ya que, en caso de que el precepto fuera en su día declarado inconstitucional, los —en este momento eventuales— perjuicios experimentados por los particulares serían susceptibles de ser evaluados y, en su caso, indemnizados” (ATC 181/2011, de 13 de diciembre, FJ 3), sin que la reparabilidad de los eventuales perjuicios sea por si sola determinante para el levantamiento o mantenimiento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vigencia de los artículos 6 y 10 de la Ley 3/2011, de 24 de febrero, de medidas en materia de contratos del sector público de Aragón.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