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8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doña Adela Asua Batarrita, don Luis Ortega Álvarez y don Francisco Pérez de los Cobos,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4246-2001, planteada por el Juzgado de lo penal núm. 6 de Granada, en relación con el art. 335 del Código penal, por posible vulneración de los arts. 9.3 y 25.1 CE. Han formulado alegaciones el Abogado del Estado y el Fiscal General del Estado y se ha personado el Senado.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julio de 2001 tuvo entrada en el Registro General de este Tribunal un escrito del Juzgado de lo Penal núm. 6 de Granada al que se acompaña, junto con el testimonio del procedimiento de juicio oral núm. 197-2001 (dimanante del procedimiento abreviado núm. 2-2000), el Auto de 12 de julio de 2001, en el que se acuerda plantear cuestión de inconstitucionalidad en relación con el art. 335 del Código penal, por posible vulneración de los arts. 9.3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7 de noviembre de 1999 agentes del Servicio de protección de la naturaleza de la Guardia Civil detuvieron en el paraje conocido como “El Cañón” del término municipal de Motril (Granada) a don Manuel Sánchez Rubiño y a don Juan Cortés Santiago mientras cazaban pájaros con reclamo y la ayuda de una red abatible de unos cinco metros de longitud, careciendo de la preceptiva autorización administrativa para hacerlo, siéndoles intervenidos en el momento de su detención cinco jilgueros y dos verderones.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diligencias policiales consta textualmente anotado que las citadas aves “no figuran entre las catalogadas como piezas de caza por el Real Decreto 1095/1989, de 8 de septiembre, por el que se declaran las especies objeto de caza y pesca y se establecen normas para su protección, si bien no son tampoco especies amenazadas, según el Real Decreto 439/1990, de 30 de marzo, por el que se regula el Catálogo Nacional de Especies Amenazadas”.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este motivo el Juzgado de Instrucción núm. 4 de Motril tramitó diligencias previas (núm. 1094-1999) y, con fecha 10 de enero de 2000, dictó Auto acordando su continuación por los trámites del procedimiento abreviado (núm. 2-2000) por si los hechos considerados fueren constitutivos de un delito contra la fauna del art. 335 del Código penal (“El que cace o pesque especies distintas a las indicadas en el artículo anterior, no estando expresamente autorizada su caza o pesca por las normas específicas en la materia, será castigado con la pena de multa de cuatro a ocho meses”). Formulada acusación por el Ministerio Fiscal, el Juzgado de instrucción, por nuevo Auto de 24 de mayo de 2000, acordó la apertura del correspondiente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Remitidas las actuaciones al Juzgado de lo Penal núm. 6 de Granada (rollo 197-2001), una vez conclusas y dentro del plazo para dictar Sentencia, el citado Juzgado, por providencia de 21 de junio de 2001, acordó, de conformidad con lo previsto en el art. 35.2 de la Ley Orgánica del Tribunal Constitucional (LOTC), conceder a las partes y al Ministerio Fiscal plazo común de diez días para que formularan alegaciones sobre la pertinencia de plantear cuestión de inconstitucionalidad respecto del art. 335 del Código penal (CP) por su posible contradicción con los arts. 9.3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por escrito de 22 de junio de 2001 se opuso al planteamiento de la cuestión por considerar, bien que sin ninguna motivación, que no existían motivos para hacerlo. Por su parte, la representación del acusado don Manuel Sánchez Rubiño, mediante escrito de 5 de julio de 2001, manifestó su opinión favorable al planteamiento de la cuestión anunciada por considerar que el art. 335 CP vulnera el principio de legalidad penal del art. 25.1 CE en su doble vertiente de garantía de carácter formal o de reserva de ley, y de carácter material o de seguridad jurídica. La representación procesal del otro acusado, don Juan Cortés Santiago,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12 de julio de 2001, el órgano judicial dictó Auto planteando la presente cuestión de inconstitucionalidad en relación con el art. 335 CP por posible vulneración de los arts. 9.3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Auto de planteamiento, el órgano judicial, después de justificar el cumplimiento de los requisitos del art. 35.2 LOTC, considera que el art. 335 CP podría efectivamente vulnerar los principios de seguridad jurídica y legalidad penal de los arts. 9.3 y 25.1 CE. Sirviéndose de la Sentencia del Tribunal Supremo de 8 de febrero de 2000, a la que se remite in totum, el órgano promotor argumenta, en primer término, que el citado precepto legal encierra en realidad una norma penal totalmente en blanco que no contiene el núcleo esencial de la prohibición. De hecho, añade, la acción que tipifica (cazar o pescar) es, en sí misma, jurídicamente neutra y tiene también un objeto igualmente neutro (especies animales que no están en peligro de extinción ni tampoco amenazadas) que no reclama en consecuencia una tutela específica, máxime cuando el tipo penal considerado no exige la lesión o puesta en peligro del bien jurídico protegido que pudiera coadyuvar a precisar mejor el núcleo del injusto, al modo de lo que hacen por su parte los arts. 325 o 333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órgano judicial promotor considera que esa remisión a “normas administrativas específicas” quiebra las mínimas exigencias constitucionales de certeza, sobre todo por la anómala fórmula de tipificación que utiliza el precepto penal cuestionado al consagrar como delictivas todas las conductas de caza y pesca que no estén expresamente autorizadas, aunque no estén tampoco expresamente prohibidas, con la consecuente creación de un amplísimo espacio de inseguridad jurídica que no puede ser paliado ni corregido mediante interpretaciones restrictivas de los supuestos límites y contrarios al sentido común a que en muchas ocasiones conduce el desmesurado ámbito literal de aplicación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30 de octubre de 2001, la Sección Segunda del Pleno de este Tribunal acordó admitir a trámite la cuestión planteada y, de conformidad con el art. 37.2 LOTC, dar traslado de las actuaciones recibidas al Congreso de los Diputados y al Senado, por conducto de sus Presidentes, al Gobierno, por conducto del Ministerio de Justicia, y al Fiscal General del Estado para que, en el plazo de quince días, pudieran personarse en el proceso y formular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16 de noviembre de 2001, la Presidenta del Congreso de los Diputados comunicó el acuerdo de la Mesa de la Cámara de no personarse ni formular alegaciones en el presente proceso constitucional,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22 de noviembre de 2001 el Abogado del Estado se personó en nombre del Gobierno en el presente proceso constitucional y formuló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advirtiendo la apreciable diferencia que existe entre cazar o pescar especies expresamente no autorizadas, que es lo que sanciona el art. 335 CP cuestionado, y cazar o pescar especies autorizadas careciendo de la oportuna licencia o contraviniendo sus condiciones o límites, que es por su parte el supuesto enjuiciado por la Sentencia del Tribunal Supremo de 8 de febrero de 2000, y a la que el órgano judicial promotor se remite in totum para justificar sus dudas de constitucionalidad. Por esta razón, el Abogado del Estado considera que las dudas de constitucionalidad que entonces expresaba la citada Sentencia respecto del citado precepto penal tomaban pie en la pretendida e indebida aplicación del art. 335 CP al supuesto entonces examinado y que, por tanto, no sirven para fundar la cuestión planteada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discrepa de la tacha de absoluta indeterminación que el Auto de planteamiento reprocha al art. 335 CP, toda vez que ese reproche parte de un entendimiento del mismo injustificadamente muy amplio, en cuanto que equivalente a la prohibición de cazar cualquier especie zoológica que no esté expresamente autorizada, de modo que por hipótesis habilitaría su aplicación —ciertamente absurda— a la caza, por ejemplo, de roedores o de insectos. En su opinión, correctamente interpretado, el núcleo de la prohibición que establece el precepto penal cuestionado no es difícil de determinar y consiste, en el caso considerado en el proceso judicial a quo, en la prohibición general de cazar todo tipo de aves, salvo las expresa y nominativamente autorizadas por las normas específicas, de modo que basta con acudir a la lista correspondiente para comprobar si el ave de que se trate es o no objeto de caza. En consecuencia, frente a lo que sugiere el Auto de planteamiento, en esta materia no hay indefinición ni existe la categoría mixta de conductas no expresamente autorizadas pero tampoco expresamente prohibidas.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hecho de que las correspondientes listas de especies prohibidas o autorizadas se contengan en normas de carácter puramente reglamentario no vulnera tampoco a su juicio el principio de legalidad penal del art. 25.1 CE. Principalmente, entre otras razones, porque, dada la complejidad de la materia, es perfectamente lógico que las listas de especies prohibidas se incluyan en normas de carácter reglamentario con la finalidad de poder resolver con la necesaria agilidad acerca de la caza de ciertas especies ante amenazas de disminución repentina o grave, para de este modo “actualizar en momentos determinados una prohibición que la Ley ha juzgado necesaria de una manera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14 de noviembre de 2001 la Presidenta del Senado comunicó que la Mesa de la Cámara acordó personarse en el presente proceso constitucional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 de diciembre de 2001, el Fiscal General del Estado presentó sus alegaciones. Luego de centrar la cuestión planteada, y que cifra en determinar si la norma penal cuestionada contiene el núcleo esencial de la prohibición y cumple con las exigencias de certeza que impone el necesario respeto del principio de legalidad penal del art. 25.1 CE, y de recordar también las normas específicas en la materia a las que se remite el art. 335 CP cuestionado para describir la conducta que tipifica (y que incluyen directivas comunitarias, leyes estatales y autonómicas, así como reglamentos), el Fiscal General del Estado considera, en síntesis, que “el supuesto de hecho de la norma penal aplicable está descrito con la necesaria claridad, no existiendo, en principio indefinición”, toda vez que, con arreglo a esas misma normas específicas, no hay duda de que constituye infracción penal la caza de cualquier animal silvestre que no esté autorizada, “sin que quepa confundirse la certeza de la prohibición, con el hecho de que la normativa sea compleja y se halle establecida en los distintos cuerpos legales de diverso orden jerárquico, todo lo cual no resta un ápice a la máxima incontestable de la prohibición genérica y terminante de caza de cualquier animal silvestre, salvo que esté expresamente autorizada, y “cuya concreta relación no puede obviamente contenerse en un precepto del código penal, mereciendo sólo una genérica remisión a la normativa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concluye que el precepto penal cuestionado satisface los requisitos exigidos por la doctrina constitucional en materia de leyes penales en blanco ex principio de legalidad del art. 25.1 CE, a saber: “el reenvío expreso, la comprensión del núcleo esencial de la prohibición y, en fin, la necesaria certeza y concreción de la norma remitida”, por lo que interesa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mayo de 2012 se acordó señalar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Penal núm. 6 de Granada cuestiona la constitucionalidad del art. 335 Código penal (CP), en la redacción de la Ley Orgánica 10/1995, de 23 de noviembre, porque considera que ese precepto es una norma penal totalmente en blanco que no contiene, según es siempre constitucionalmente obligado, el núcleo esencial de la prohibición y efectúa, además, una remisión a normas administrativas específicas que vulneran los principios de seguridad jurídica y de legalidad penal de los arts. 9.3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Perfilado el objeto del proceso, importa advertir que, con posterioridad al planteamiento y tramitación de la presente cuestión, el precepto penal cuestionado fue modificado por la Ley Orgánica 15/2003, de 25 de noviembre, cuyo art. único, centésimo vigésimo cuarto, da nueva redacción al citado art. 335.1 CP, de modo que a partir de entonces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que cace o pesque especies distintas de las indicadas en el artículo anterior [relativo a la caza o pesca de especies protegidas], cuando esté expresamente prohibido por las normas específicas sobre su caza o pesca, será castigado con la pena de multa de ocho a doce meses e inhabilitación especial para el ejercicio del derecho de cazar o pescar por tiempo de dos a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nos obliga a comprobar en este momento la posible pérdida sobrevenida del objeto de la presente cuestión de inconstitucionalidad, pues, aun cuando esta causa no sea una de las que el art. 86.1 de la Ley Orgánica del Tribunal Constitucional señala como una de las causas de terminación extraordinaria de los distintos procesos constitucionales, no hay duda de que esa circunstancia puede provocar igualmente la conclusión del proceso constitucional y sin que sea necesario, por tanto, un pronunciamiento sobre el reproche de constitucionalidad planteado, habida cuenta de la posibilidad de que las alteraciones sobrevenidas que se produzcan durante la tramitación del proceso constitucional en la relevancia de la norma terminen por afectar a la subsistencia de la propia cuestión planteada (últimamente STC 6/2010, de 14 de abril, y AATC 311/2007, de 19 de junio, FJ único; y 29/2009, de 27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presente, no cabe descartar que, en virtud de la citada modificación legal, la norma penal cuestionada haya dejado de ser relevante para la resolución del proceso judicial del que trae causa la presente cuestión de inconstitucionalidad, al no poder resolver ya el órgano judicial mediante la aplicación del art. 335 CP en su redacción entonces vigente, sino con arreglo a la nueva redacción introducida por Ley Orgánica 15/2003, como consecuencia de la forzosa aplicación del principio de retroactividad de la ley penal más favorable que con carácter general sienta el art. 2.2 del Código Penal y, de modo particular, establece la disposición transitoria primera de la propia Ley Orgánica 15/2003, cuando dispone que se aplicará la nueva ley “una vez que entre en vigor, si las disposiciones de la misma son más favorables para el reo, aunque los hechos hubieran sido cometidos con anterioridad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sin embargo, que la determinación del alcance del citado principio de retroactividad es una operación que corresponde en principio efectuar al propio órgano judicial proponente, no es posible concluir con la necesaria seguridad que el precepto penal cuestionado haya dejado ser relevante para la resolución del proceso judicial a quo, lo que exige que nos pronunciemos sobre la tacha de inconstitucionalidad planteada, siendo así que la regla general es que las cuestiones de inconstitucionalidad han de ser resueltas de acuerdo con la legislación en vigor al tiempo de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se ha recordado, el órgano judicial proponente cuestiona la constitucionalidad del art. 335 CP, en su redacción anterior a la Ley Orgánica 15/2003, de 25 de noviembre, por considerar que el tipo que describe no satisface las exigencias formales y materiales que impone el principio de legalidad penal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 consolidada y unánime doctrina de este Tribunal, que está resumida entre otras muchas en la STC 283/2006, de 9 de octubre, FFJJ 5 y 8, el principio de legalidad penal, en su vertiente de garantía de orden formal, obliga a que sea precisamente una norma con rango de ley la que defina las conductas delictivas y señale las penas correspondientes. No obstante, como también está dicho en esa misma doctrina constitucional, la reserva de ley en materia penal no impide la existencia de las denominadas “leyes penales en blanco”, esto es, como sucede en el presente caso, según luego se insistirá, normas penales incompletas que no describen agotadoramente la correspondiente conducta o su consecuencia jurídico-penal, sino que se remiten para su integración a otras normas distintas, que pueden ser incluso de carácter reglamentario. Ahora bien, para que esa remisión a normas extrapenales sea admisible constitucionalmente debe cumplir en todo caso los siguientes requisitos: a) que el reenvío normativo sea expreso y esté justificado en razón del bien jurídico protegido por la norma penal; b) que la ley, además de señalar la pena, contenga el núcleo esencial de la prohibición; y c), sea satisfecha la exigencia de certeza o, lo que en expresión constitucional ya normalizada es lo mismo: que “la conducta calificada de delictiva quede suficientemente precisada con el complemento indispensable de la norma a la que la ley penal se remite, y resulte de esta forma salvaguardada la función de garantía de tipo con la posibilidad de conocimiento de la actuación penalmente conminada” (STC 127/1990, de 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citada garantía formal el principio de legalidad penal del art. 25.1 CE comprende también otra de carácter material, que refleja la especial trascendencia del principio de seguridad jurídica en este ámbito limitativo de la libertad individual y que, en relación con el legislador, y por lo que aquí más importa, se traduce en la exigencia absoluta de la predeterminación normativa de las conductas ilícitas y de las sanciones correspondientes mediante una tipificación lo más precisa y taxativa posible en la descripción que incorpora para que, de este modo, “los ciudadanos puedan conocer de antemano el ámbito de lo prohibido y prever, así, las consecuencias de sus acciones” (STC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presente asunto exige, en primer lugar, recordar el tenor de la norma penal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335 CP 1995 cuestionado tipifica como delito y castiga con pena de multa de cuatro a ocho meses a quien “cace o pesque especies distintas a las indicadas en el artículo anterior [especies en peligro de extinción y, en general, amenazadas], no estando expresamente autorizada su caza o pesca por las normas específicas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en consecuencia, ante un precepto que presenta una innegable estructura de ley penal en blanco, por cuanto la definición de la conducta típica incorpora un elemento normativo (la caza o pesca de especies no autorizadas expresamente) cuyo significado, en lo que ahora exclusivamente nos importa, sólo puede precisarse acudiendo a las normas específicas que determinan cuáles son las especies cinegéticas autorizadas de modo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normas específicas a que se remite el precepto penal cuestionado tienen carácter extrapenal y, como pone de relieve el Ministerio Fiscal y consta anotado también en las actuaciones judiciales, son al tiempo de producirse los hechos enjuiciados en el proceso judicial a quo las previstas, de un lado, en los arts. 29 a 32, relativos a las especies amenazadas, y 33 y 34, sobre especies objeto de caza y sus límites, de la Ley 4/1989, de 27 de marzo, de conservación de los espacios naturales y de la flora y de la fauna silvestres; y, de otro, y principalmente, en el Real Decreto 1095/1989, de 8 de septiembre, por el que se declaran las especies objeto de caza y pesca y se establecen normas para su protección; y en el Real Decreto 439/1990, de 30 de marzo, por el que se regula el catálogo nacional de especies amenazadas.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estos presupuestos y de acuerdo con la doctrina constitucional que antes se ha resumido debemos comprobar ahora si el precepto penal cuestionado cumple con los requisitos que ex art. 25.1 CE son exigibles a las leyes penales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no hay duda de que la remisión a las citadas normas extrapenales específicas es expresa y está además justificada en atención al bien jurídico protegido por la norma penal (la biodiversidad, los recursos naturales y el medio ambiente y, de modo particular, la fauna silvestre), habida cuenta de la complejidad técnica de la materia y el carácter variable del grado de protección de las especies cinegéticas, lo que hace imprescindible la acomodación de la normativa a esa evolución y justifica la remisión a la legislación administrativa para determinar las especies de caza autorizadas, sin necesidad de acudir a la constante actualización de la norma penal, que tiene, como hemos advertido en otras ocasiones semejantes (SSTC 120/1998, de 15 de junio, FJ 5; y 34/2005, de 17 de febrero, FJ 3), “una pretensión de relativa permanencia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sin embargo, lo mismo con las otras dos exigencias, pues, aun cuando el art. 335 CP 1995 cuestionado señala la pena aplicable al delito que tipifica, no contiene el núcleo esencial de la prohibición ni satisface tampoco la exigencia de certeza.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penal cuestionada en el presente proceso constitucional no contiene efectivamente el núcleo esencial de la prohibición toda vez que remite íntegramente y sin ninguna precisión añadida la determinación de las especies no expresamente autorizadas a las normas específicas en materia de caza, de modo que es el Gobierno, a través de normas reglamentarias y, en particular, de los correspondientes listados de especies cinegéticas, y no el Parlamento, el que en forma por completo independiente y no subordinada a la ley termina en rigor por definir libremente la conducta típica. De hecho, con el citado art. 335 CP en la mano, basta simplemente con que la Administración guarde silencio y no se pronuncie sobre la caza o no de una determinada especie animal para que su captura o muerte pase a integrar el tipo penal que consideramos. Todo lo cual supone, según hemos advertido en otras ocasiones, una vulneración de la garantía formal del principio de legalidad penal (STC 24/2004, de 24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libertad absoluta e incondicionada para que sea una norma la que defina el tipo es, en efecto, manifiesta puesto que, como prueba su propio tenor literal, la norma penal cuestionada no contiene tampoco ninguna exigencia específica de lesión o puesta en peligro del bien jurídico protegido (la fauna silvestre) que sirva para precisar el núcleo esencial de la prohibición penal y cualificar de este modo, entre las acciones abstractas que identifica (cazar o pescar), las que por ese motivo merecen reproche penal. Este déficit en la definición del núcleo esencial de la prohibición es tanto más acusado y significativo si comparamos ahora el art. 335 CP cuestionado con el resto de normas penales previstas en el propio capítulo IV del título XVI del libro II del Código penal de 1995, sobre los “delitos relativos a la protección de la flora y fauna”, y en los que el legislador penal sí exige que la correspondiente conducta, además de vulnerar las normas extrapenales en la materia, afecte a especies de flora y fauna “amenazadas” (arts. 332 y 334 CP), “perjudique el equilibrio biológico” (art. 333 CP) o consista en la utilización de instrumentos o artes de caza o pesca de innegable “eficacia destructiva” (art. 336 CP). Lo que supone ciertamente un plus de antijuridicidad material que coadyuva a precisar la correspondiente conducta penal típica y permite cumplir con la comentada exigencia constitucional (STC 34/2005, de 17 de febrero, FJ 3); una circunstancia, sin embargo, que, como se ha comprobado, no concurre en el caso del art. 335 CP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añadidura, como antes hemos anticipado, el art. 335 CP 1995 cuestionado no satisface tampoco la exigencia de certeza a que obliga el principio de legalidad penal del art. 25.1 CE, toda vez que el citado precepto penal, incluso una vez integrado con las normas extrapenales o reglamentarias específicas a que se remite, no permite identificar con la necesaria y suficiente precisión la conducta delictiva que tipifica.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tiene razón el órgano judicial proponente cuando, sirviéndose del criterio que luce en la STS de 8 de febrero de 2000, advierte que la tipificación como delictivas de todas las conductas de caza que no estén expresamente autorizadas, aunque no estén tampoco expresamente prohibidas, crea un amplísimo espacio de inseguridad jurídica, incompatible con la citada exigencia constitucional de certeza. Tan amplio, de hecho, que conductas tan inocuas para el Derecho penal como matar ratas o insectos pasarían a integrar el tipo penal del art. 335 CP 1995, simplemente porque esas especies, al igual que los jilgueros y verderones, no figuran tampoco en el listado de especies cuya captura en vivo o muerte está autorizada expresamente por las correspondientes normas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en conclusión, el art. 335 CP 1995 cuestionado en el presente proceso contiene una formulación tan abierta e indefinida que su aplicación depende en último término de una decisión prácticamente libre y arbitraria, primero del Gobierno y la Administración, a través de normas reglamentarias, y más tarde, del intérprete y juzgador encargado de su aplicación, y que resulta constitucionalmente incompatible con el principio de legalidad que garantiza el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 335 del Código penal en la redacción de la Ley Orgánica 10/1995, de 23 de noviembre.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