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7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 de julio de 2009, el Procurador de los Tribunales don José Javier Cuevas Rivas, en nombre y representación de don Jesús Díaz de Heredia Ruiz de Arbulo, y bajo la dirección del Letrado don Iker Urbina Fernández, interpuso recurso de amparo contra el Auto de la Sección Primera de la Sala de lo Penal de la Audiencia Nacional de 26 de mayo de 2009, dictado en la ejecutoria núm. 21-1986, por el que se desestima el recurso de súplica interpuesto contra la providencia de 6 de mayo de 2009, en la que se aprueba fecha para licenciamiento definitivo.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las resoluciones judiciales impugnadas. A esos efectos, se expone que en dichas resoluciones, al haberse aplicado la doctrina establecida en la Sentencia de la Sala Segunda del Tribunal Supremo núm. 197/2006, de 28 de febrero, se ha retrasado el licenciamiento definitivo en varios años, por lo que su ejecución ocasionaría un perjuicio al recurrente que haría al amparo perder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sendas providencias de 26 de marzo de 2012,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20 de abril de 2012, presentó alegaciones en las que, enunciando la jurisprudencia de este Tribunal sobre el particular, interesó que se denegara la suspensión solicitada, argumentando, por un lado, la gravedad de las penas impuestas cuya fecha de cumplimiento es el objeto del recurso de amparo y la lejanía del tiempo de cumplimiento definitivo fijado en las resoluciones impugnadas y, por otro, la circunstancia de que la suspensión determinaría la puesta en libertad del recurrente lo que supondría, al menos parcialmente, un otorgamiento anticipado.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16 de abril de 2012, presentó alegaciones insistiendo en la necesidad de la suspensión de las resoluciones impugnadas por los graves perjuicios que supone el mantenimiento en prisión, toda vez que se ha acordado nueva fecha de licenciamiento definitivo para el 19 de febrero de 2016, en vez de la anteriormente fijada de 23 de febrero de 2009.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56.1 de la Ley Orgánica del Tribunal Constitucional dispone que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que no se produzca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ya ha reiterado que en casos como el presente en que se solicita la suspensión de la ejecución de las resoluciones judiciales por las que se aprueba la fecha de licenciamiento definitivo en aplicación de la doctrina establecida en la Sentencia de la Sala Segunda del Tribunal Supremo núm. 197/2006, de 28 de febrero, no resulta procedente la puesta cautelar en libertad del recurrente por implicar una perturbación grave de los intereses generales, y, en concreto, del legítimo interés público en el cumplimiento de las penas, en atención a la gravedad de las penas que se están ejecutando. A ello se añade la circunstancia de que la puesta en libertad del recurrente supondría, al menos parcialmente, un otorgamiento anticipado del amparo que se solicita, lo que desnaturalizaría la naturaleza cautelar de la medida (por todos, ATC 206/2010,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y tal como señala el Ministerio Fiscal, la solicitud de la suspensión debe ser rechazada, ya que se trata del cumplimiento de penas graves cuyo límite se ha establecido en treinta años y su concesión supondría la puesta en libertad del recurrente y, con ello, un parcial otorgamiento anticipado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solicitada en el recurso de amparo núm. 6106-2009.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