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julio de 2010, la Procuradora de los Tribunales doña María Jesús Mateos Herranz, en nombre y representación de don Antonio Muñiz García, don Rafael Muñiz García y Hermanos Muñiz de Ayamonte, S.L., interpuso recurso de amparo contra la Sentencia de 29 de enero de 2010 dictada por la Sección Segunda de la Audiencia Provincial de Huelva, que estimó en parte el recurso de apelación interpuesto contra la Sentencia de 20 de febrero de 2009 dictada por el Juzgado de lo Penal núm. 4 de Huelva en el procedimiento abreviado núm. 221-2008. Asimismo, el recurso de amparo impugna el Auto de la Sala de 3 de mayo de 2010, que desestima el incidente de nulidad promovido contra la Sentencia recaída en apelación y suprime el párrafo 1 del epígrafe 4.4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de 20 de febrero de 2009 el Juzgado de lo Penal núm. 4 de Huelva absuelve a los recurrentes del delito contra los derechos de los trabajadores, en concurso con un delito de lesiones por imprudencia grave, por el que venían siendo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por Sentencia de 29 de enero de 2010 la Audiencia Provincial de Huelva (Sección Segunda) condenó a los recurrentes como autores de un delito contra los derechos de los trabajadores [art. 316 del Código penal (CP)] en concurso con una falta de lesiones por imprudencia (art. 621.3 CP), consistente en penas de prisión, según los distintos responsables, de nueve meses y multa de nueve meses a razón de diez euros diarios o apremio personal subsidiario de un día por cada dos cuotas en caso de impago e insolvencia, y a las penas accesorias de inhabilitación especial por tiempo de nueve meses para el ejercicio, tanto personal como a través de su condición de administrador de una persona jurídica, de la actividad empresarial de la construcción, y por la falta, pena de veinte días de multa con una cuota diaria de diez euros o apremio personal subsidiario de un día por cada dos cuotas en caso de impago o insolvencia.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los condenados interpusieron incidente de nulidad de actuaciones, que fue inadmitido por providencia de 3 de mayo de la Audiencia Provincial de Huelva.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consideran que se han vulnerado sus derechos a un proceso con todas las garantías (art. 24.2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otrosí, los recurrentes solicitaban la suspensión de la ejecución de la Sentencia de 29 de enero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marzo de 2012,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trámite de alegaciones mediante escrito registrado en este Tribunal con fecha de 17 de abril de 2012 en el que interesó la estimación de la solicitud de suspensión formalizada por la parte demandante en lo relativo a la pena privativa de libertad impuesta en la Sentencia recurrida, debiéndose extender dicha suspensión a la pena accesoria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los recurrentes, por su parte, presentó escrito de alegaciones el 10 de abril de 2012, insistiendo en los argumentos expresados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de la Ley Orgánica del Tribunal Constitucional (LOTC), en la redacción dada por la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concretamente, este Tribunal, entre otros muchos, en los AATC 116/2008, de 28 de abril; 25/2009, de 26 de enero, y 145/2010, de 18 de octubre,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(AATC 155/2002, de 16 de septiembre, FJ 3; y 9/2003, de 20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supuesto que aquí se examina de la doctrina referida obliga a considerar que, si se compara la duración de la pena privativa de libertad impuesta a los demandantes con el tiempo que requiere normalmente la tramitación de un proceso de amparo como el presente, no suspender su ejecución ocasionaría a aquél un perjuicio irreparable que dejaría totalmente en entredicho la eficacia de un eventual fallo estimatorio de la demanda de amparo, por cuanto la pena de prisión podría ya estar cumplida al menos en gran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atendidas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todo ello, en aplicación del principio de proporcionalidad, se entiende procedente acordar la suspensión de la pena privativa de libertad impuesta en la Sentencia recurrida, debiéndose extender dicha suspensión a la pena accesoria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cambio no procede la suspensión del resto de pronunciamientos condenatorios que contiene la Sentencia antedicha, puesto que no se argumenta ningún perjuicio irreparable que pudiera provocar su ejecución, y ha de alegarse la bien conocida doctrina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(ATC 12/2012, de 30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procede, en fin, la suspensión de la responsabilidad subsidiaria para el caso de impago de la pena de multa, al tratarse de una eventualidad incierta que depende de que la multa no llegase a ser pagada, voluntariamente o por la vía de apremio, y en cualquier caso de una eventualidad futura que, en caso de sobrevenir, podría dar lugar a la modificación de la medida cautelar que ahora se adopta, en virtud del art. 57 LOTC (ATC 53/2009, de 23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Conceder la suspensión solicitada en lo que se refiere a las penas privativas de libertad de nueve meses de prisión impuestas a los recurrentes en la Sentencia de 17 de abril de 2012 dictada por la Sección Segunda de la Audiencia Provincial de Huelva.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Denegar la suspensión de los restantes pronunciamientos.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