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21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mayo de 2009, el Procurador de los Tribunales don Javier Cuevas Rivas, en nombre y representación de don Nicolás Francisco Rodríguez, y bajo la dirección del Letrado don Iker Sarriegi Etxabe, interpuso recurso de amparo contra el Auto de la Sección Segunda de la Sala de lo Penal de la Audiencia Nacional de 31 de marzo de 2009, dictado en la ejecutoria núm. 34-1992, por el que se desestima el recurso de súplica interpuesto contra el Auto de 9 de marzo de 2009, que estima aplicable al recurrente la doctrina recogida en la Sentencia de la Sala de lo Penal del Tribunal Supremo núm. 197/2006, de 28 de febrero, y contra la providencia de 21 de abril de 2009 por la que se acuerda fijar como fecha de licenciamiento definitivo del recurrente el día 12 de mayo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si se aplica la jurisprudencia anterior a la doctrina establecida en la Sentencia de la Sala de lo Penal del Tribunal Supremo citada, el licenciamiento definitivo del recurrente habría tenido lugar el día 26 de mayo de 2009, conforme propuso el centro penitenciario en el que cumple condena, por lo que las resoluciones impugnadas, al rechazar la propuesta del centro y fijar el día 12 de mayo de 2017 como fecha de licenciamiento definitivo, conforme a la doctrina de la mencionada Sentencia, han retrasado su puesta en libertad ocho años, con lo que la ejecución de las resoluciones impugnadas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23 de abril de 2012, presentó alegaciones en las que, con cita de la doctrina de este Tribunal sobre el particular, interesó que se denegara la suspensión solicitada, dada la gravedad de las penas impuestas al recurrente, la lejanía del tiempo de cumplimiento definitivo y la circunstancia de que la suspensión determinaría la puesta en libertad del recurrente, lo que supondría, al menos parcialmente, un otorgamiento anticipado del amparo, lo que desnaturalizaría el carácter cautelar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16 de abril de 2012, presentó alegaciones reiterando su solicitud de suspensión de las resoluciones impugnadas por los graves perjuicios que supone el mantenimiento en prisión, toda vez que ya han transcurrido casi tres años desde que se superó la fecha del licenciamiento definitivo propuesto por el centro penitenciario y rechazado por las resoluciones recurridas en amparo, a lo que añade que la suspensión solicitada no supone perturbación grave de los intereses generales.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56.2 de la Ley Orgánica del Tribunal Constitucional dispone que la Sala que conozca de un recurso de amparo acordará la suspensión de la ejecución del acto de los poderes públicos por razón del cual se reclame el amparo cuando dicha ejecución, caso de llevarse a cabo, “produzca un perjuicio al recurrente que pudiera hacer perder al amparo su finalidad”, consagrándose, en el segundo inciso de dicho precepto, un límite a esa facultad, pues queda condicionada a que “la suspensión no ocasione perturbación grave a un interés constitucionalmente protegido, ni a los derechos fundamentales o libertades de otra persona”. De ello deriva, como regla general, que la admisión del amparo no conlleva la suspensión de la ejecución de los actos recurridos, ni siquiera en el supuesto expresamente previsto de la pérdida de finalidad del amparo, dado que la suspensión se condiciona a que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relativas a la aprobación del licenciamiento definitivo en aplicación de la doctrina establecida en la Sentencia de la Sala de lo Penal del Tribunal Supremo núm. 197/2006, de 28 de febrero, no resulta procedente la puesta cautelar en libertad del recurrente por implicar una perturbación grave de un interés constitucionalmente protegido como lo es 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206/2010, de 30 de diciembre, 3/2011, de 14 de febrero, y 25/2012, de 31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interesa el Ministerio Fiscal, la solicitud de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4796-2009.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