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95</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21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mayo de 2010, el Procurador de los Tribunales don Javier Cuevas Rivas, en nombre y representación de don Kepa Mirena Solana Arrondo, y bajo la dirección de la Letrada doña Ainhoa Baglietto Gabilondo, interpuso recurso de amparo contra el Auto de la Sección Tercera de la Sala de lo Penal de la Audiencia Nacional de 9 de julio de 2009, dictado en la ejecutoria núm. 56-1994, por el que se desestima el recurso de súplica interpuesto contra la providencia de 12 de junio de 2009 en la que se acuerda proceder a nuevo cómputo de liquidación para fijar fecha de licenciamiento definitivo, así como contra el Auto de la Sala de lo Penal del Tribunal Supremo de 25 de marzo de 2010 por el que se acuerda no haber lugar al recurso de casación núm. 11136-2009 (interpuesto contra el referido Auto de la Audiencia Nacional) y contra la providencia de 28 de abril de 2010, por la que se acuerda inadmitir el incidente de nulidad promovido contra el Auto de 25 de marzo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las resoluciones judiciales impugnadas. A esos efectos se expone que si se aplica la jurisprudencia anterior a la doctrina establecida en la Sentencia de la Sala de lo Penal del Tribunal Supremo núm. 197/2006, de 28 de febrero, el licenciamiento definitivo del recurrente habría tenido lugar el día 10 de octubre de 2009, conforme propuso el centro penitenciario en el que cumple condena, por lo que las resoluciones impugnadas, al rechazar la propuesta del centro y ordenar al mismo un nuevo cómputo de liquidación para fijar fecha de licenciamiento definitivo conforme a la doctrina de la citada Sentencia, han retrasado su puesta en libertad doce años, con lo que la ejecución de las resoluciones impugnadas ocasionaría un perjuicio al recurrente que haría al amparo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26 de marzo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en este Tribunal el 19 de abril de 2012, presentó alegaciones en las que, con cita de la doctrina de este Tribunal sobre el particular, interesó que se denegara la suspensión solicitada, dada la gravedad de las penas impuestas al recurrente, la lejanía del tiempo de cumplimiento definitivo y la circunstancia de que la suspensión determinaría la puesta en libertad del recurrente, lo que supondría, al menos parcialmente, un otorgamiento anticipado del amparo, lo que desnaturalizaría el carácter cautelar de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escrito registrado en este Tribunal el 3 de abril de 2012, presentó alegaciones reiterando su solicitud de suspensión de las resoluciones impugnadas por los graves perjuicios que supone el mantenimiento en prisión, toda vez que ya han transcurrido tres años desde que se superó la fecha del licenciamiento definitivo propuesto por el centro penitenciario y rechazado por las resoluciones recurridas en amparo, a lo que añade que la suspensión solicitada no supone perturbación grave de los intereses generales.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56.2 de la Ley Orgánica del Tribunal Constitucional dispone que la Sala que conozca de un recurso de amparo acordará la suspensión de la ejecución del acto de los poderes públicos por razón del cual se reclame el amparo cuando dicha ejecución, caso de llevarse a cabo, “produzca un perjuicio al recurrente que pudiera hacer perder al amparo su finalidad”, consagrándose, en el segundo inciso de dicho precepto, un límite a esa facultad, pues queda condicionada a que “la suspensión no ocasione perturbación grave a un interés constitucionalmente protegido, ni a los derechos fundamentales o libertades de otra persona”. De ello deriva, como regla general, que la admisión del amparo no conlleva la suspensión de la ejecución de los actos recurridos, ni siquiera en el supuesto expresamente previsto de la pérdida de finalidad del amparo, dado que la suspensión se condiciona a que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ya ha reiterado que en casos como el presente en que se solicita la suspensión de la ejecución de las resoluciones judiciales relativas a la aprobación del licenciamiento definitivo en aplicación de la doctrina establecida en la Sentencia de la Sala de lo Penal del Tribunal Supremo núm. 197/2006, de 28 de febrero, no resulta procedente la puesta cautelar en libertad del recurrente por implicar una perturbación grave de un interés constitucionalmente protegido como lo es 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AATC 206/2010, de 30 de diciembre, 3/2011, de 14 de febrero, y 25/2012, de 31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y tal como interesa el Ministerio Fiscal, la solicitud de suspensión debe ser rechazada, ya que se trata del cumplimiento de penas graves cuyo límite se ha establecido en treinta años y su concesión supondría la puesta en libertad del recurrente y, con ello, un parcial otorgamiento anticipado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3971-2010.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