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octubre de 2010, el Procurador de los Tribunales don Javier Cuevas Rivas, en nombre y representación de doña Miren Gotzone López de Luzuriaga Fernández y bajo la dirección letrada de don Iker Urbina Fernández, interpuso recurso de amparo contra el Auto de la Sala de lo Penal del Tribunal Supremo, de 22 de julio de 2010, dictado en recurso de casación núm. 10284-2010, y frente al Auto de 3 de febrero de 2010 de la Sección Segunda de la Sala de lo Penal de la Audiencia Nacional, en ejecutoria 62-2002, que aprobó el licenciamiento definitivo de la recurrente para el día 12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Aduce el recurrente que en dichas resoluciones, al haberse aplicado la doctrina establecida en la Sentencia de la Sala Segunda del Tribunal Supremo núm. 197/2006, de 28 de febrero, se ha retrasado su licenciamiento definitivo en nueve años, por lo que su ejecución le ocasionaría un perjuicio que haría al amparo perder su finalidad. Junto a ello, se alega también que la suspensión de las resoluciones impugnadas no ocasionaría una grave perturbación de los intereses generales, pues la única consecuencia que de la misma se derivaría, en el caso de que finalmente se desestimara el recurso de amparo, sería la demora en el cumplimiento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así como conceder al recurrente y al Ministerio Fiscal el plazo común de tres días para que alegasen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por escrito presentado en el Juzgado de Instrucción núm. 26 de Madrid el 3 de abril de 2012 y registrado en este Tribunal el 16 de abril de 2012, presentó alegaciones reiterando los argumentos expuestos en su escrito de demanda. Insiste en los graves perjuicios que le ocasionaría la ejecución de las resoluciones impugnadas, dado que, como consecuencia de la nueva liquidación de condena efectuada, se retrasaría nueve años su licenciamiento definitivo. Considera que, por ello, de no atenderse su solicitud, el amparo podría perder su finalidad ya que no se le podría restituir el tiempo cumplido en exceso. Por otra parte, señala que la suspensión de la ejecución de las resoluciones impugnadas no afectaría al interés general, ya que si el amparo se denegara podría reingresar en prisión y cumplir entonces la pena que le faltara.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en este Tribunal el 18 de abril de 2012, presentó alegaciones e interesó que se denegara la suspensión, citando para ello diversos Autos de este Tribunal que han resuelto sobre la suspensión en casos similares.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que en casos como el presente, en los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interesa el Ministerio Fiscal, la solicitud de la suspensión debe ser rechazada, ya que se trata del cumplimiento de penas graves y su concesión supondría la puesta en libertad de la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7493-2010.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