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18 de junio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1714-2009, promovido por don Francisco Real Granado, representado por la Procuradora de los Tribunales doña Pilar Marta Bermejillo de Hevia y asistido por la Abogada doña Carmen Barca Durán, contra la Sentencia de la Audiencia Provincial de Cádiz (Sección Tercera) de 24 de noviembre de 2008, dictada en rollo de apelación 170-2008, por la que se revoca la absolución acordada por la Sentencia de 29 de octubre de 2007 dictada por el Juzgado de lo Penal núm. 4 de Cádiz en juicio rápido núm. 274-2007, y condena el recurrente como autor de los delitos de malos tratos y coacciones; y contra la providencia de la Audiencia Provincial de 12 de enero de 2009, que inadmite a trámite el incidente de nulidad de actuaciones interpuesto contra la Sentencia citada.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de 24 de febrero de 2009, la Procuradora de los Tribunales doña Pilar Marta Bermejillo de Hevia, en representación de don Francisco Real Granado y asistido por la Abogada doña Carmen Barca Durán, interpuso recurso de amparo contra las resoluciones reseñadas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 Juzgado de lo Penal núm. 4 de Cádiz de 29 de octubre de 2007 absolvió al recurrente de los delitos de malos tratos en el ámbito familiar y coacciones. Los hechos declarados probados son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“Unas dos semanas antes del 12 de junio de 2007, Francisco encargó a un tercero cambiar la cerradura de un garaje-trastero del que era usuario ubicado en la calle Veracruz de Rota, junto al domicilio que habitaba XXX. Francisco le hizo llegar a XXX copia de las llaves. Se desconoce si XXX, que no conducía vehículos en aquellas fechas, daba al garaje-trastero algún uso a dicho garaje. En un periodo en el que ambos se hallaban muy enfrentados acerca de las medidas que debían tomarse a propósito de los gastos de los hijos, concretamente el 12 de junio de 2007, coincidiendo que ambos se encontraron en el garaje sito en el edificio donde vivía XXX en la Calle Veracruz, en Rota, se entabló fuerte discusión entre ellos en la que XXX le reprochó a Francisco que se negara a acceder al pago de las cantidades que ella le exigía. Ante la negativa de Francisco, XXX soltó los cinturones de seguridad que sujetaban a su hija a fin de impedir que Francisco estuviera con la menor. Al final de ese día XXX presentaba en el brazo unos hematomas que a simple vista coincidían con los que podrían haber causado con la presión de las yemas de los dedos de una mano.”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absolución se fundó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supuesta coacción, los hechos expuestos en la relación de hechos probados son admitidos por ambas partes, de modo que la cuestión que se plantea es la de determinar si el cambio de aquella cerradura constituyó un acto de coacción por haberse realizado con la intención de impedir el ejercicio de la libertad a la denunciante. La respuesta que se impone es la negativa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denunciada admite que en aquellas fechas, ni conducía, ni tenía vehículo, lo cual limita mucho sus posibilidades de uso del garaje-trastero; se ha alegado mucho en juicio que allí tenía patatas, sacos de dormir, leña y juguetes de los niños; no resulta razonable pensar que el no poder disponerse de tales objetos equivalga a limitación de la libertad de movimiento con trascendencia penal, pues a) unas patatas constituyen un alimento al alcance de cualquier ciudadano sin necesidad de gran desembolso económico; b) acerca de los sacos de dormir, no se alega una salida de acampada al aire libre; c) respecto de la leña, no parece probable que en la primavera-verano en la que ocurren los hechos se fuera a hacer uso de ella; d) en cuanto a los juguetes de los niños, los mismos no se concretan, lo cual impide valorar el grado de limitación de la libertad; y e) es más, la propia denunciante reconoce en juicio que desde junio —que como luego veremos ya se le entregó la nueva llave a través de la asistenta— no ha vuelto a abrir la puerta;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testigo aportado por el acusado, aunque no muy fiable, refiere que la cerradura estaba averiada, lo cual apunta a que la intención era la de repararla;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denunciada no ha dejado constancia alguna de su oposición al cambio de la cerradura; adviértase que ni siquiera denunció los hechos cuando ocurrieron, lo cual apunta a que pudo aprobar el cambio;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denunciada admite que al cabo de unos días el acusado le entregó voluntariamente la llave;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Todos admiten que el cambio de la cerradura afectó a una puerta auxiliar del garaje pues se podía entrar en él por la puerta principal al no estar bloqueada;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Finalmente, aunque se ha referido mucho en juicio que fue el hijo común quien insistió al padre que permitiera la entrada en el garaje para coger juguetes; no se comprende el motivo de hacer esa afirmación de referencia a la vez que se priva a este Juzgador de toda posibilidad de corroborarlo.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Vemos por tanto que nos hallamos ante un cambio de cerradura encargado por el propietario-conductor en el que no se aprecia debidamente intencionalidad de impedir a la víctima la realización de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supuesta agresión, veamos cual es la prueba practicada, no sin antes indicar que el acusado niega la existencia de la agresión. Procede examinar la prueba fundamental que es la testifical de la propia denunciante. De dicha testifical han de analizarse las tres circunstancias jurisprudencialmente exigidas.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declaración concurren circunstancias que exigen extremar la prudencia, en concreto: 1) la testigo, perjudicada por los hechos, se halla personada en las actuaciones solicitando indemnización civil por daños morales; tal circunstancia hace que tenga gran interés en la condena del acusado; 2) aquella reconoce haber mantenido pleito civil con solicitud de medidas matrimoniales de modo casi simultáneo a la interposición de la denuncia, luego puede estar utilizando la causa penal como instrumento de presión; 3) asimismo reconoce su resentimiento hacia su ex cónyuge criticando con insistencia el aprovechamiento patrimonial que ha ejercido sobre ella (refiere como ‘él dominaba todo’, ‘todo a su nombre como privativo, ella no tiene nada a su nombre y por eso él le coacciona’) o su comportamiento personal (refiere que ha sido ‘amenazada, coaccionada e intimidada”, que “él todo lo hacía para fastidiarla a ella’); 4) aquella siendo Letrada debe ser gran conocedora de las circunstancias importantes a efectos probatorios, y lo demostró en juicio respondiendo numerosas veces sin espontaneidad, ya porque se pensara mucho la respuesta (cuando se le preguntó si sus familiares vieron la agresión) ya porque respondiera sobre extremos ajenos a aquellos a los que se refería la pregunta (teniendo que advertirle numerosas veces este Juzgador que o bien se le había preguntado sobre otro particular o que se limitara a manifestar si era cierto o no lo que se le preguntaba); 5) e incluso, en el acto de juicio, la denunciante ha llegado a manipular circunstancias incurriendo en alguna contradicción, así cuando refiere el motivo por el que se opuso a que el denunciado se marchara con la hija dijo en un primer momento que fue para evitar algún mal a la hija o accidente dado el estado de nerviosismo del padre (dijo ‘dio miedo que se llevara a la hija porque podía darle un porrazo’), si bien luego da una versión diferente consistente en que se opuso a que se llevara a la hija como medida frente a la negativa del denunciado a satisfacer los gastos de los hijos (dijo ‘como tu no das nada entonces no te llevas a la niña’).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declaración, aunque persistente, inculpa sobre un episodio tan puntual (una presión instantánea sobre un brazo) que hace que a efectos judiciales resulte de difícil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autoría de la lesión no se corrobora con elementos periféricos, pues a falta de la exploración de la menor que supuestamente presenció ese hecho supuestamente ocurrido en la privacidad que permite una dependencia cerrada, lo cierto es que no se puede descartar que la lesión se la hubiera podido causar otra persona en el intervalo que medió entre la discusión y la llegada al centro médico horas más tarde. No se puede considerar elemento periférico de prueba (por la desconfianza que genera su emisión) la versión de la testigo […], que, a pesar de admitir que le falla mucho la memoria (para evitar contestar a alguna pregunta de la defensa) recuerda con extraña facilidad que oyó al denunciado decir ‘ahora me denuncias’.”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la acusación particular se interpuso recurso de apelación, que fue estimado por la Audiencia Provincial de Cádiz, condenando al recurrente como autor de una falta de coacciones y un delito de malos tratos en el ámbito familiar a las penas, por cada delito, de nueve meses de prisión con privación del derecho a la tenencia, porte de armas por tiempo de un año y un día y prohibición de aproximación a menos de 200 metros de la víctima o su domicilio así como a comunicar con ella por tiempo de un año y nueve meses. La Sentencia del órgano de apelación modificó los hechos probados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“Unas dos semanas antes del 12 de junio de 2007, Francisco que era usuario del garaje contiguo a la vivienda de la calle Veracruz de Rota, vivienda usada provisionalmente por su ex esposa y sobre cuya titularidad existía controversia entre ambos, con la finalidad de incomodarla e impedirle usar la puerta de comunicación interior con el garaje y trastero, mandó cambiar la cerradura de la puerta de comunicación interior de la vivienda con el garaje, puerta que era exclusivamente utilizada por ésta y sus hijos para acceder tanto al trastero como al propio garaje donde se materializaba en ocasiones, la entrega de los hijos menores cuando se ejercía por el padre el régimen de visitas, no entregándole la llave que le permitía el acceso desde la vivienda al interior de la zona de garaje y trastero a su ex esposa hasta varios días más tarde.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doce de junio de 2007, sobre las 17 horas, con motivo de acudir el acusado al garaje indicado a recoger a su hija de 6 años de edad, para gozar de su compañía, se produjo una discusión con su ex esposa motivada por las discrepancias entre ambos respecto de la contribución a los gastos de los hijos, y como quiera que la situación se puso tensa, XXX optó por llevarse a la niña para lo cual introdujo su cuerpo en el vehículo del acusado con intención de soltarle el cinturón de seguridad, instante en que el acusado, para hacerla desistir de su propósito, la agarró por el brazo con violencia y se lo retorció diciéndole a continuación ‘ahora si quieres me denuncias’.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agresión XXX fue atendida en el servicio de salud a las 20,50 horas presentando ansiedad y 4 hematomas de aproximadamente 5x2 cms. en su totalidad, en cara interna del brazo izquierdo ocasionados por la presión de los dedos, erosiones superficiales en antebrazos y dolor a la movilización del hombro izquierdo, lesiones que tardaron en curar 15 días con dos de impedimento para sus ocupaciones habituales.”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condena se fundó en los siguientes fundamentos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trasladados tales criterios al caso de autos estimamos que procede la revocación de la sentencia en cuanto se absuelve al acusado de los delitos de coacciones leves y maltrato de obra en el ámbito de la violencia de género por el que era acusado y ello por cuanto en lo que atañe al delito de coacciones el razonamiento resulta ilógico y absurdo pues de una parte se está desconfiando de la credibilidad del testigo de la defensa en orden a la justificación de la necesidad de cambiar la cerradura para en contradicción con ello admitir que estaba averiada, y de otra, se pasa por alto que incluso en el caso de estar ésta efectivamente averiada, el cambio de la misma, unido al retardo en la entrega de una copia de la llave, dado que tal puerta era de comunicación interior y exclusivamente utilizada por los moradores de la vivienda, no podía tener otra finalidad que la de impedir a éstos el acceso por la misma hacia el trastero.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Concurren pues todos los elementos de la falta de coacciones, impedir mediante la vis in rebus representada por el cambio de la cerradura, el acceso desde el interior de la vivienda al trastero, coacción que pese a merecer la condición de leve, por efecto del artículo 172.2 del Código Penal, al dirigirse contra la esposa alcanza la categoría de delito y a la que es de aplicación el subtipo agravado por cometerse en el domicilio de la víctima. Resulta indiferente que los objetos depositados en el trastero fueran o no fácilmente sustituibles en el mercado, lo esencial es que se privó a la víctima de la facultad de ejercer libremente la posesión sobre el trastero.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delito de maltrato familiar del artículo 153 del Código Penal discrepamos igualmente de la conclusión obtenida por el Juez a quo, las valoraciones que a éste le hacen dudar de la credibilidad de la principal testigo de cargo, o bien son de todo punto inadmisibles por el prejuicio y discriminación que conllevan, como el hecho de su condición de letrada, o resultan erróneas como lo es el dato apuntado del posible móvil espurio representado por un supuesto afán indemnizatorio, por ello, si la versión dada está avalada además con el dato objetivo de las lesiones constadas, las cuales objetivamente se corresponden o son perfectamente compatibles con el mecanismo causante descrito por la víctima y además contamos con el testimonio de la tía de la víctima que aun cuando no pudo presenciar directamente la agresión si relata lo que oyó y la reacción inmediata posterior tanto de la menor como del propio acusado, la relación causal entre las lesiones padecidas y el mecanismo causante descrito se obtiene sin dificultad debiendo encajarse los hechos en el marco del delito del artículo 153.1 del Código Penal con la aplicación del tipo cualificado de cometerse en presencia de la hija menor y en el domicilio de la víctima, al ser el garaje donde se perpetró una dependencia aneja y en comunicación interior con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dicha Sentencia interpuso el actor incidente de nulidad de actuaciones, que fue inadmitido por providencia de 12 de enero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los derechos a un proceso con todas las garantías (art. 24.2 CE), a la presunción de inocencia (art. 24.2 CE) y a la tutela judicial efectiva sin indefensión (art. 24.1 CE). Apelando a la doctrina constitucional introducida por la STC 167/2002, de 18 de septiembre, centra su queja en que la condena dictada por el órgano judicial de apelación se ha basado en la revisión de la credibilidad de los testimonios prestados en el juicio oral celebrado en primera instancia, sin haberlos oído personalmente, lo que resulta contrario a las exigencias de dicha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respecto al delito de coacciones, alega que la Sentencia de la Audiencia Provincial entra a valorar la declaración testifical de la persona que realizó el cambio de la cerradura a pesar de no haber sido oída en segunda instancia. Añade que aunque el juzgador a quo hubiera hecho constar en su Sentencia que dicho testimonio no era “muy fiable”, ello no legitima al órgano de segunda instancia a revisar su valoración sin la garantía de inmediación. Además, la Sala descarta, sin justificación alguna, la afirmación realizada por varios testigos —acusado, denunciante y hermano de la denunciante— de que al garaje se podía acceder por la puerta principal del mismo, por lo que en ningún momento se impidió a la denunciante el acceso al garaje y con ello al trastero. Por lo que respecta al delito de malos tratos en el ámbito familiar, la Sala entra a valorar de nuevo la declaración de la principal testigo de la acusación —la denunciante— así como la de la tía de ésta, sin que ni una ni otra hayan sido oídas y, por ello, sin la necesaria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12 de diciembre de 2011,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se acordó la apertura de la correspondiente pieza separada para la tramitación del incidente de suspensión, concediéndose un plazo común de tres días al recurrente y al Ministerio Fiscal para que formularan alegaciones sobre el particular, conforme a lo previsto en el art. 56 LOTC. Evacuado dicho trámite, mediante Auto de 30 de enero de 2012, la Sala Segunda acordó otorgar la suspensión interesada en lo que se refiere a las dos penas privativas de libertad, denegando la suspensión de los restantes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7 de marzo de 2012, se acordó dar vista de las actuaciones recibidas al Ministerio Fiscal y al recurrente por plazo común de veinte días para presentar las alegaciones que estimase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9 de abril de 2012, evacuando el trámite previsto en el citado art. 52.1 LOTC, el demandante de amparo presentó escrito de alegaciones, en el que se remitió íntegramente a las pretensiones formuladas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13 de abril de 2012, evacuando idéntico trámite, el Ministerio Fiscal solicitó el otorgamiento del amparo, por vulneración de los derechos a un proceso con todas las garantías (art. 24.2 CE)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citar la STC 135/2011, en la que se resume la doctrina constitucional sobre las garantías de la segunda instancia penal, comienza por referirse a la condena por el delito de coacciones, argumentando que el Juzgado de lo Penal, tras el examen de numerosos testigos, descartó la existencia del delito al tener por acreditado que la denunciante en ningún momento se vio impedida para acceder al garaje-trastero. Frente a ello, la Audiencia Provincial, sin haber escuchado tales testimonios ni haber oído al acusado, concluyó que éste realizó el cambio de cerradura con la sola intención de impedir el acceso al garaje, modificando así el relato fáctico, y a tal conclusión llegó el órgano judicial ateniéndose únicamente a una revisión de las pruebas personales no practicadas en su presencia. En relación con el delito de malos tratos, también fueron modificados los hechos probados, incluyendo que las lesiones habían sido causadas por el actor para impedir que se llevase a la hija común de ambos, y esa modificación partió del rechazo a la valoración que la credibilidad del testimonio de la denunciante ofrecía al Juzgado de lo Penal, otorgando la Audiencia plena credibilidad al mismo sin explicación alguna. Concluye el Ministerio Fiscal que, en consecuencia, en ambos casos se vulneró el derecho a un proceso con todas las garantías y el derecho de defensa del actor. Además, dado que los medios de prueba indebidamente valorados en la segunda instancia resultan imprescindibles para fundamentar la condena por ambos ilícitos, también debe entenderse vulnerado el derecho a la presunción de inocencia, debiendo en consecuencia anularse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14 de junio de 2012, se señaló para deliberación y fallo de la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el 24 de noviembre de 2008 por la Audiencia Provincial de Cádiz por la que se revoca la absolución acordada en primera instancia; y contra la providencia de la citada Audiencia Provincial de 12 de enero de 2009, que inadmite a trámite el incidente de nulidad de actuaciones interpuesto. La demanda se funda en la vulneración de los derechos a un proceso con todas las garantías (art. 24.2 CE) y a la presunción de inocencia (art. 24.2 CE), citándose igualmente el derecho a la tutela judicial efectiva sin indefensión (art. 24.1 CE), por haberse dictado una Sentencia condenatoria en segunda instancia sin haber oído al acusado y sin la debida inmediación. El Ministerio Fiscal apoya la pretensión impugnatoria y solicita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núcleo de la controversia suscitada en la presente demanda de amparo radica en si la revocación del pronunciamiento absolutorio acordada por la Audiencia Provincial, sin oír a los testigos que declararon ante el órgano judicial a quo y sin audiencia al acusado, se ha llevado a cabo con el debido respeto a las garantías exigibles en la segunda instancia penal. Para dar respuesta a la demanda de amparo resulta necesario exponer la doctrina constitucional desarrollada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recuerda la reciente STC 153/2011, de 17 de octubre, FJ 3, según la consolidada doctrina de este Tribunal sobre las garantías de la segunda instancia penal, desarrollada a partir de la citada STC 167/2002, de 18 de septiembre,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Contrariamente no cabrá entender vulnerado el principio de inmediación cuando, por utilizar una proposición comprensiva de toda una idea, el órgano de apelación no pronuncie su Sentencia condenatoria a base de sustituir al órgano de instancia en aspectos de la valoración de la prueba en los que éste se encuentra en mejor posición para el correcto enjuiciamiento de los hechos sobre los que se funda la condena debido a que la práctica de tales pruebas se realizó en su presencia.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esta no resulta del análisis de medios probatorios que exijan presenciar la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En consecuencia, serán las resoluciones judiciales pronunciadas en el proceso sometido a revisión constitucional y los hechos sobre los que se proyectó el enjuiciamiento de los Tribunales ordinarios los que condicionarán la perspectiva con la que haya de abordarse el enjuiciamiento constitucional y el resultado mismo de tal enjuiciamiento, sin que quepa adelantar soluciones rígidas o estereotipadas. En este análisis casuístico, además del examen riguroso de las Sentencias pronunciadas en instancia y apelación por los Tribunales ordinarios, resultará imprescindible la consideración de la totalidad del proceso judicial para situarnos en el contexto global en el que se produjo el debate procesal, y así comprender primero y enjuiciar después la respuesta judicial ofrecida. Y es que, con frecuencia, la respuesta global dada por los órganos judiciales no puede entenderse en su verdadero alcance sin considerar las alegaciones de las partes a las que se da contestación y el curso procesal al que las Sentencias ponen fin. No debemos perder de vista que, aun cuando sólo en la medida en que así resulta preciso para proteger los derechos fundamentales, en el recurso de amparo se enjuicia la actividad de los órganos judiciales y que, precisamente por ello, el acto final que es objeto de impugnación en amparo no es sino el precipitado de todo el proceso, aunque con frecuencia no todas sus incidencias se hagan explícitas en la resolución final” (STC 153/2011, FJ 3; en igual sentido, entre otras muchas, SSTC 170/2002, de 30 de septiembre, FJ 15; 198/2002, de 26 de octubre, FJ 5; 230/2002, de 9 de diciembre, FJ 8; 170/2005, de 20 de junio, FJ 3; 272/2005, de 24 de octubre, FJ 2; 36/2008, de 25 de febrero, FJ 5; y 24/2009, de 26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Junto al respeto a la garantía de inmediación en la valoración de las pruebas personales por el órgano ad quem, hemos introducido también, a partir de las recientes SSTC 184/2009, de 7 de septiembre, FJ 3 y 45/2011, de 11 de abril, FJ 3, la exigencia de audiencia personal del acusado como garantía específica vinculada al derecho de defensa (art. 24.2 CE). Tal como hemos afirmado en dichos pronunciamientos, la exigencia de tal garantía de audiencia del acusado en fase de recurso dependerá de las características del proceso en su conjunto. En el mismo sentido, en la STEDH de 27 de junio de 2000, caso Constantinescu c. Rumanía, § 53, se destaca que cuando se celebra una audiencia pública en la primera instancia, la omisión del debate en apelación puede estar justificada por las particularidades del procedimiento, teniendo en cuenta la naturaleza del sistema de apelación, la índole de las cuestiones que han de resolverse, el alcance que la decisión del recurso puede tener y la medida en que los intereses del afectado han sido realmente satisfechos y protegidos. Así, el Tribunal Europeo de Derechos Humanos ha declarado también que cuando el Tribunal de apelación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(entre otras, SSTEDH de 27 de junio de 2000, caso Constantinescu c. Rumanía, § 55; 1 de diciembre de 2005, caso Ilisescu y Chiforec c. Rumanía, § 39; 18 de octubre de 2006, caso Hermi c. Italia, § 64; 10 de marzo de 2009, caso Igual Coll c. España, § 27; 21 de septiembre de 2010, caso Marcos Barrios c. España, § 32; 16 de noviembre de 2010, caso García Hernández c. España, § 25; 25 de octubre de 2011, caso Almenara Álvarez c. España, § 39; 22 de noviembre de 2011, caso Lacadena Calero c. España, § 38; 13 de diciembre de 2011, caso Valbuena Redondo c. España, § 29; 20 de marzo de 2012, caso Serrano Contreras c. España, § 31)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este es el primero en condenarle en el marco de un proceso en el que se decide sobre una acusación en materia penal dirigida contra él (STEDH de 27 de junio de 2000, caso Constantinescu c. Rumanía, §§ 58 y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Tribunal Europeo de Derechos Humanos indica también que “tras celebrarse una vista pública en primera instancia, la ausencia de debate público en apelación puede justificarse por las particularidades del procedimiento considerado, teniendo en cuenta la naturaleza del sistema de apelación interno, el alcance de los poderes del órgano de apelación, la manera en que los intereses del demandante han sido realmente expuestos y protegidos ante éste, y principalmente la índole de las cuestiones que éste tiene que juzgar … Así, ante un Tribunal de apelación que goza de plenitud de jurisdicción, el artículo 6 no garantiza necesariamente el derecho a una vista pública ni, si dicha vista ha tenido lugar, el de comparecer personalmente en los debates” (entre otras SSTEDH de 16 noviembre 2010, caso García Hernández c. España, § 24; y de 16 diciembre 2008, caso Bazo González c. España, § 30). De acuerdo con la doctrina del Tribunal Europeo de Derechos Humanos, será indispensable contar con una audiencia pública cuando el Tribunal de apelación “no se ha limitado a efectuar una interpretación diferente en derecho a la del juez a quo en cuanto a un conjunto de elementos objetivos, sino que ha efectuado una nueva apreciación de los hechos estimados probados en primera instancia y los ha reconsiderado, cuestión que se extiende más allá de las consideraciones estrictamente jurídicas” (STEDH de 10 de marzo de 2009, caso Igual Coll c. España, § 36; en igual sentido, STEDH de 13 de diciembre de 2011, caso Valbuena Redondo c. España, § 32). De donde, contrario sensu, se extrae la conclusión de que dicha audiencia pública no es necesaria cuando el Tribunal ad quem se limita a efectuar una distinta interpretación jurídica respecto a la realizada en la instancia anterior. Por esta razón, en la mencionada STEDH de 16 de diciembre de 2008, caso Bazo González c. España, se consideró inexistente la vulneración del art. 6.1 CEDH, en la medida en que “los aspectos analizados por la Audiencia Provincial poseían un aspecto puramente jurídico, sin que los hechos declarados probados en primera instancia hubieran sido modificados” (§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presencia del acusado en el juicio de apelación, cuando en el mismo se debaten cuestiones de hecho que afectan a su declaración de inocencia o culpabilidad, es una concreción del derecho de defensa que tiene por objeto posibilitar que quien ha sido absuelto en primera instancia pueda exponer, ante el Tribunal llamado a revisar la decisión impugnada, su versión personal sobre su participación en los hechos que se le imputan. Es precisamente el carácter personalísimo de dicha manifestación lo que impone su citación para ser oído. De manera que si el debate planteado en segunda instancia versa exclusivamente sobre cuestiones jurídicas, ya sea por la configuración legal del recurso —como en nuestro sistema jurídico ocurre, en tantas ocasiones, en la casación penal—, ya sea por los concretos motivos que fundamentan la solicitud de agravación de condena planteada por los acusadores, para su resolución no resulta necesario oír personalmente al acusado en un juicio público, pues dicha audiencia ninguna incidencia podría tener en la decisión que pudiera adoptarse, sino que el Tribunal ad quem puede decidir adecuadamente sobre la base de lo actuado. En tales supuestos, en cuanto el debate sea estrictamente jurídico, la posición de la parte podría entenderse debidamente garantizada por la presencia de su abogado, en quien se encarnaría la efectividad del derecho de defensa frente a los argumentos esgrimidos por la otra parte” (STC 153/2011, de 17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citada doctrina constitucional ha de llevarnos al otorgamiento del amparo solicitado. Tal como ha sido expuesto con mayor detalle en los antecedentes, la Audiencia Provincial revocó el pronunciamiento absolutorio dictado por el Juzgado de lo Penal y condenó al recurrente como autor de un delito de coacciones y un delito de malos tratos en el ámbito familiar. El Juzgado de lo Penal consideró que procedía la absolución por el delito de coacciones por no concurrir la intención del acusado de impedir el ejercicio de la libertad de la denunciante, concluyendo, a partir de sus propias declaraciones y de las del recurrente, que los enseres guardados en el garaje cuya cerradura cambió el actor no eran de uso habitual por parte de la denunciante, que la nueva llave le fue entregada al cabo de unos días y que no denunció ni mostró disconformidad con el cambio de cerradura. Además, el órgano de primera instancia tomó en consideración el testimonio del testigo aportado por la defensa, pese a no considerarlo muy fiable, acerca de que la cerradura se hallaba averiada, concluyendo que tal dato apuntaba a que la finalidad que movía al recurrente era la de su reparación. Por lo que respecta al delito de malos tratos, se fundó la absolución en la falta de fiabilidad que el órgano judicial a quo atribuyó a la declaración de la denunciante, considerando que circunstancias como su interés en la incriminación —dada la indemnización civil solicitada—, la iniciación casi simultánea de un pleito civil a instancias de la denunciante, el expreso reconocimiento de un resentimiento hacia su ex cónyuge o, entre otras, las contradicciones en que incurrió en su declaración, impiden atribuir veracidad a su testimonio y erigirlo en prueba de cargo. Además, entendió el Juzgado de lo Penal que tampoco el testimonio de otra testigo merecía credibilidad ni podía, en consecuencia, constituirse como elemento periférico de corroboración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rechaza la valoración de la prueba testifical efectuada por el Juez penal y la sustituye por un distinto enjuiciamiento, considerando, en relación con el delito de malos tratos, que las razones aducidas por el órgano judicial para dudar de la fiabilidad de los testimonios son inadmisibles y erróneas y concluyendo, en consecuencia, que la versión incriminatoria formulada por la denunciante y la otra persona que declaró como testigo, junto con el dato objetivo de las lesiones constatadas, permiten enervar la presunción de inocencia. En relación con el delito de coacciones, la Sala entiende que “el razonamiento resulta absurdo pues de una parte se está desconfiando de la credibilidad del testigo de la defensa y en orden a la justificación de la necesidad de cambiar la cerradura para en contradicción con ello admitir que estaba averiada, y de otra, se pasa por alto que incluso en el caso de estar efectivamente averiada, el cambio de la misma, unido al retardo en la entrega de una copia de la llave, dado que la puerta era de comunicación interior y exclusivamente utilizada por los moradores de la vivienda, no podía tener otra finalidad que la de impedir a estos el acceso por la misma hacia el trastero”.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justifica la posibilidad de revocar la absolución sin celebrar vista oral argumentando que el objeto de su valoración son las inducciones y deducciones seguidas por el órgano a quo, que por tanto no depende de la inmediación y la percepción directa de los testimonios, sino de la aplicación de las reglas de la lógica a las inferencias valorativas. Considerando tales inferencias arbitrarias, incongruentes e irrazonables, estima necesario modificarlas.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las pautas hermenéuticas que informan la doctrina constitucional expuesta, no podemos compartir la argumentación de la Audiencia Provincial. Ciertamente, para analizar la razonabilidad y coherencia lógica de las inferencias empleadas por el órgano de primera instancia no es precisa la garantía de inmediación; pero lo cierto es que la Audiencia Provincial no se limita a dicha evaluación, sino que, después de haber rechazado la valoración efectuada por el Juez penal por considerarla arbitraria, la sustituye por una distinta, atribuyendo así credibilidad a los testimonios que sólo el órgano a quo pudo oír. E indudablemente, para esta segunda operación valorativa sí es precisa la inmediación, por cuanto comprende un juicio sobre la fiabilidad de las declaraciones testificales. En los términos empleados por la STC 317/2006, de 15 de noviembre, ante un supuesto similar al que ahora nos ocupa, “de la censura sobre la razonabilidad de los argumentos utilizados por el órgano a quo para fundar su convicción sobre la credibilidad de un testimonio no se infiere, eo ipso, un juicio positivo sobre la veracidad del mismo, sino que es preciso realizar una segunda valoración dirigida a ponderar dicha credibilidad, y esta segunda fase del enjuiciamiento habrá de verse necesariamente apoyada sobre elementos de juicio necesitados de la inmediación; máxime en supuestos, como en el que ahora nos ocupa, en los que la asunción de la verosimilitud del testimonio de la parte acusadora conlleva per se la negación de la credibilidad de lo manifestado, no sólo por el acusado, sino por otros testigos presentados por la defensa, con una versión de los hechos lógicamente opuesta a los de la acusación. Expresado en otros términos: que las razones por las que un Juez considera que la declaración de un testigo no es veraz sean ilógicas o irrazonables no implica que tal declaración sea veraz, de igual modo que considerar como irrazonables o ilógicas las razones que avalan un veredicto de inocencia no puede dar lugar a una atribución de culpabilidad. En suma, para la valoración sobre de la credibilidad de un testimonio será precisa siempre la concurrencia de la inmediación, so pena de vulnerar el derecho a un proceso con todas las garantías recogido en el art. 24.2 CE” (FJ 3; en igual sentido, SSTC 15/2007, de 12 de febrero, FJ 3; y 54/2009, de 23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afirmado lleva cabalmente a declarar vulnerado el derecho a un proceso con todas las garantías (art. 24.2 CE) respecto de la condena por el delito de malos tratos, puesto que, como acabamos de poner de manifiesto, la revocación de la absolución se ha fundado en una diferente valoración de pruebas personales sin la debida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 atinente a la condena por el delito de coacciones, ha sido ya expuesto que las garantías de la segunda instancia penal poseen un ámbito más amplio, abarcando asimismo la necesidad de oír al acusado, en aras a garantizar su derecho de defensa (art. 24.2 CE), en todos aquellos supuestos en los que por el órgano ad quem se procede a una alteración de los hechos probados para modificar in peius el pronunciamiento dictado en primera instancia (SSTC 184/2009, de 7 de septiembre, FJ 3, y 45/2011, de 11 de abril, FJ 3). De igual modo a como procedimos en la STC 153/2011, de 17 de octubre, “(l)a íntima conexión con las garantías cuya pretendida vulneración sustenta este recurso de amparo constitucional exige que este Tribunal aborde la cuestión de si se vulneró el derecho a la defensa del demandante de amparo como consecuencia de haber sido condenado por la Audiencia Provincial sin darle ocasión de hacerse oír personalmente ante ella, aun cuando esta dimensión constitucional no ha sido formulada con precisión en la demanda de amparo”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es importante poner de manifiesto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a quo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ha venido entendiendo el Tribunal Europeo de Derechos Humanos. En la antes citada STEDH de 13 de diciembre de 2011, caso Valbuena Redondo c. España, la absolución por delito contra la hacienda pública acordada en primera instancia se fundó en la ausencia de voluntad fraudulenta del acusado, conclusión que después fue modificada por el órgano de apelación. Ante ello, el Tribunal europeo afirmó que “a diferencia del asunto Bazo González ya citado, la Audiencia Provincial no se limitó a una nueva valoración de elementos de naturaleza puramente jurídica, sino que se pronunció sobre una cuestión de hecho, en concreto, la existencia de una voluntad de defraudar a la Hacienda Pública … modificando así los hechos declarados probados por el Juez de la primera instancia. En opinión del Tribunal, tal examen implica, por sus características, una toma de posición sobre hechos decisivos para la determinación de la culpabilidad del demandante” (§ 37). Por tal razón, concluyó que “(s)iendo las cuestiones tratadas esencialmente de naturaleza fáctica, … la condena del demandante en apelación por la Audiencia Provincial tras un cambio en la valoración de elementos tales como la existencia de un verdadero perjuicio económico para la Hacienda pública o la intención fraudulenta del demandante, sin que este hubiese tenido la oportunidad de ser oído personalmente y de discutirlos mediante un examen contradictorio en el curso de una vista oral, no es conforme con las exigencias de un proceso equitativo” (§ 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idéntico sentido se manifestó el Tribunal de Estrasburgo en la STEDH 22 de noviembre de 2011, caso Lacadena Calero c. España. Ante un supuesto en el que el Tribunal Supremo había revocado una absolución por delito de estafa, afirmando que el acusado era conocedor de los documentos que, como notario, había autorizado y que actuó con un dolo eventual de defraudar, manifiesta el Tribunal Europeo de Derechos Humanos que “el Tribunal Supremo se apartó de la sentencia de instancia después de haberse pronunciado sobre elementos de hecho y de derecho que le permitieron determinar la culpabilidad del acusado. A este respecto, es obligado constatar que, cuando la inferencia de un tribunal ha tenido relación con elementos subjetivos (como en este caso la existencia de dolo eventual), no es posible proceder a la valoración jurídica de la actuación del acusado sin haber tratado previamente de probar la realidad de esta actuación, lo que implica necesariamente la verificación de la intención del acusado en relación a los hechos que se le imputan. Ciertamente, el Tribunal Supremo llegó a su valoración de la intención del acusado sobre la base de una inferencia a partir de los hechos acreditados por la instancia inferior (los documentos del expediente). Sin embargo, para llegar a esta inferencia, el Tribunal Supremo no ha oído al acusado, que no ha tenido la oportunidad (inexistente en el recurso de casación) de hacer valer ante el Tribunal las razones por las que negaba haber sido consciente de la ilegalidad de su actuación y tener una voluntad fraudulenta. Como consecuencia, el Tribunal considera que las cuestiones que debía examinar el Tribunal Supremo, requerían la valoración directa del testimonio del acusado, o incluso del de otros testigos” (§§ 47 a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tales presupuestos al caso que ahora nos concierne, es preciso hacer notar que a la hora de fundamentar la condena por el delito de coacciones, la Sentencia de la Audiencia Provincial impugnada incurre en el mismo proceder que las resoluciones que dieron lugar a las citadas decisiones del Tribunal Europeo de Derechos Humanos. Como ha sido expuesto con antelación, la absolución acordada por el Juzgado de lo Penal partió de entender que “la cuestión que se plantea es la de determinar si el cambio de aquella cerradura constituyó un acto de coacción por haberse realizado con la intención de impedir el ejercicio de la libertad a la denunciante”, y concluyó, a partir de la evaluación de diferentes indicios, que no era esa la finalidad que movió al actor a cambiar las cerraduras. Frente a dicha valoración, la revocación de la absolución por el delito de coacciones vino presidida por una distinta inferencia sobre la concurrencia del dolo típico, concluyendo la Sala que la conducta de cambiar las cerraduras de la puerta que daba acceso al trastero no tenía otra finalidad que impedir el acceso al mismo y, con ello, coartar la libertad de los moradores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distinto enjuiciamiento sobre los hechos subjetivos sin haber dado audiencia al acusado supone, en atención a la doctrina constitucional expuesta, la vulneración del derecho a la defensa (art. 24.2 CE), por cuanto, en definitiva, la condena dictada por la Audiencia Provincial no sólo se sostiene sobre una nueva valoración de la credibilidad de pruebas personales sin la debida inmediación, sino que ha sido consecuencia de la modificación de los hechos probados sin dar oportunidad al acusado para ejercitar su defensa ante el órgano ad quem.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recuerda la STC 30/2010, de 17 de mayo, FJ 5, según reiterada doctrina de este Tribunal Constitucional la constatación de la vulneración del derecho a un proceso con todas las garantías (art. 24.2 CE) determinará también la del derecho a la presunción de inocencia (art. 24.2 CE) en la medida en que la eliminación de las pruebas valoradas sin la debida inmediación deje sin sustento el relato de hechos probados que soporta la declaración de culpabilidad del acusado. Esto sucederá, por supuesto, cuando la prueba personal eliminada sea la única tomada en cuenta por la resolución impugnada, pero también cuando, a partir de la propia motivación de la Sentencia, se constate que dicha prueba era esencial para llegar a la conclusión fáctica incriminatoria, de modo que con su exclusión la inferencia en dicha conclusión devenga ilógica o no concluyente a partir de los presupuestos de la propia Sentencia (SSTC 126/2007, de 21 de mayo, FJ 4; 207/2007, de 24 de septiembre, FJ 2; 36/2008, de 25 de febrero, FJ 5 y 214/2009, de 30 de noviembre, FJ 5, entre otras). En atención a dicha doctrina, y de modo acorde a lo solicitado por el Ministerio Fiscal, debemos declarar también vulnerado el derecho a la presunción de inocencia, por cuanto las pruebas decisivas sobre las que se ha sustentado la condena impuesta por los delitos de coacciones y malos tratos son las declaraciones testificales de denunciante y denunciado, así como las de otros testigos llamados a declarar ante el órgano judicial de primera instancia.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Francisco Real Granado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han sido vulnerados los derechos a un proceso con todas las garantías (art. 24.2 CE), a la defensa (art. 24.2 CE) y a la presunción de inocencia (art. 24.2 CE) del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dictada por la Sección Primera de la Audiencia Provincial de Cádiz el día 24 de noviembre de 2008, en recurso de apelación núm. 170-2008, y de la providencia de 12 de enero de 2009 dictada por el mismo órgano judicial.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