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172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septiembre de 2012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18 de junio de 2012, la Procuradora de los Tribunales doña Rosa Sorribes Calle, en nombre y representación de Obres i Construccions Lujano, S. L., interpuso demanda de amparo contra Auto de la Sección Primera de la Sala de lo Contencioso-Administrativo del Tribunal Supremo recaído en recurso de queja núm. 36-2011 contra el dictado por la Sección Séptima de la Sala de lo Contencioso-Administrativo de la Audiencia Nacional, en recurso núm. 146-2009.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11 de septiembre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2/1979, de 3 de octubre, del Tribunal Constitucional (artículo 80), al haber intervenido en instancia anterior en su condición de Magistrado de la Sala de lo Contencioso-Administrativo del Tribunal Supremo que dictó la resolución impugnada.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del artículo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3687-2012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veintiséis de septiembre de dos mil doce.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