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10210-2008, promovido por don José Ramón Martínez de la Fuente Inchaurregui, representado por el Procurador de los Tribunales don Javier Cuevas Rivas y asistido por el Abogado don Iker Urbina Fernández, contra la providencia de 29 de octubre de 2008 de la Sección Primera de la Sala de lo Penal de la Audiencia Nacional, dictado en la ejecutoria núm. 75-1986, dimanante del sumario núm. 75-1986 del Juzgado Central de Instrucción núm. 1, por la que se acuerda fijar como fecha de licenciamiento definitivo del recurrente el día 20 de mayo de 2020, y contra el Auto de 3 de diciembre de 2008, que desestima el recurso de súplica interpuesto frente a aquella providencia. Han intervenido el Ministerio Fiscal y la Asociación Víctimas del Terrorismo.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diciembre de 2008, el Procurador de los Tribunales don Javier Cuevas Rivas, en nombre y representación de don José Ramón Martínez de la Fuente Inchaurregui y bajo la dirección del Abogado don Iker Urbina Fernández,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sentencias firmes en ocho causas distintas, conforme al Código penal (CP) de 1973, a diversas penas privativas de libertad cuya suma superaba en total los 241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Primera de la Sala de lo Penal de la Audiencia Nacional de 22 de julio de 1996 se acordó la acumulación de las condenas impuestas al recurrente en las ocho causas referidas, fijando como límite máximo de efectivo cumplimiento el de treinta años de privación de libertad establecido en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23 de mayo de 1997 de la misma Sala y Sección se declaró no haber lugar a la revisión de las penas impuestas al recurrente en las ocho causas referidas, pues el límite máximo de efectivo cumplimiento de treinta años establecido por el Auto de 22 de julio de 1996 resulta igualmente aplicable a tenor del art. 76.1 b) del nuevo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28 de octubre de 2008, el centro penitenciario en el que se encontraba interno el recurrente elevó a la Sala propuesta de liquidación de condena, señalándose como fecha de licenciamiento definitivo el 20 de mayo de 2020, si se aplica el criterio sentado por la Sentencia de la Sala de lo Penal del Tribunal Supremo núm. 197/2006, de 28 de febrero; o bien el 1 de enero de 2009, si se aplica el criterio anterior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29 de octubre de 2008 la Sección Primera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20 de mayo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el anterior Auto interpuso el demandante de amparo recurso de súplica, invocando la lesión del derecho a la tutela judicial efectiva en la vertiente de intangibilidad de las resoluciones judiciales firmes (art. 24.1 CE); del derecho a la libertad (art. 17.1 CE); del principio de legalidad penal (art. 25.1 CE); del derecho a la igualdad (art. 14 CE); y de los principios de seguridad jurídica 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súplica fue desestimado por Auto de 3 de diciembre de 2008 de la misma Sala y Sección, en el que se confirma que el licenciamiento definitivo deberá tener lugar el 20 de mayo de 2020, por aplicación al caso del criterio sentado por la citada Sentencia de la Sala de lo Penal del Tribunal Supremo núm.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el recurrente fundamenta su demanda de amparo en los seis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17.1 CE). Sostiene el recurrente que la Audiencia Nacional acordó en las resoluciones impugnadas la aplicación de la nueva doctrina de la Sala de lo Penal del Tribunal Supremo sentada en la Sentencia núm. 197/2006, que establece un nuevo criterio en cuanto al cómputo de las redenciones por trabajo que empeora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 y que se habría vulnerado también el derecho a la revisión por un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de amparo segundo y tercero se aduce la vulneración del principio de legalidad penal (art. 25.1 CE, en conexión con el art. 9.3 CE), por la interpretación realizada por la Audiencia Nacional de los arts. 70.2 y 100 CP 1973, y de los arts. 66 del Reglamento de prisiones de 1956 y del art. 202 del Reglamento penitenciario actual, en relación con el derecho a la libertad (art. 17.1 CE). Así como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 Por otra parte, se afirma que el art. 70.2 CP 1973 estaba inspirado en un humanismo penal, de corte terapéutico, contrario a la ejecución de reclusiones excesivamente prolongadas. El trabajo penitenciario y las redenciones ordinarias y extraordinarias persiguen una finalidad resocializadora. La interpretación adoptada por la providencia y el Auto impugnados dejaría sin efecto estas previsiones, a juicio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motivo de amparo denuncia el recurrente la vulneración del derecho a la tutela judicial efectiva (art. 24.1 CE), en la vertiente de intangibilidad de las resoluciones judiciales firmes, en relación con el derecho a la libertad (art. 17.1 CE) y los principios de legalidad (art. 9.1 CE) y seguridad jurídica (art. 9.3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22 de julio de 1996, en el que el Tribunal sentenciador acordó la acumulación de todas las condenas impuestas al recurrente, fijando como límite máximo de efectivo cumplimiento el de treinta años establecido en el art. 70.2 CP 1973. De este modo, la aplicación de las redenciones de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vulneración del derecho a la igualdad en la aplicación de la ley (art. 14 CE), en relación con el art. 14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y último motivo de amparo se denuncia la vulneración del derecho a la libertad (art. 17.1 CE), en relación con los arts. 5 y 7.1 CEDH y los arts. 9.1 y 5 y 15.1 PIDCP.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solicitando por otrosí en la demanda la suspensión de la ejecución de las resoluciones judiciales impugnadas, solicitud de suspensión que fue reiterada mediante escrito registrado en este Tribunal con fecha 23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marzo de 2012 la Sala Primera de este Tribunal acordó la admisión a trámite de la demanda de amparo y, a tenor de lo dispuesto en el art. 51 LOTC, requerir atentamente a la Sección Primera de la Sala de lo Penal de la Audiencia Nacional para que en el plazo de diez días remitiera testimonio de las actuaciones correspondientes a la ejecutoria núm. 75-1986, interesándose al propio tiempo el emplazamiento de quienes fueron parte en el procedimiento, a excepción del recurrente,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113/2012, de 4 de junio, denegando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3 de mayo de 2012 se tuvo por personada en el presente proceso constitucional a la Procuradora de los Tribunales doña María Esperanza Álvaro Mateo, en nombre y representación de la Asociación Víctimas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 3 de julio de 2012 se tuvieron por recibidos los testimonios de las actuaciones remitidos por la Sección Primera de la Sala de lo Penal de la Audiencia Nacional y se procedió, conforme a lo establecido en el art. 52.1 LOTC, a dar vista de las actuaciones por plazo común de veinte días al Ministerio Fiscal y a las partes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en este Tribunal el 18 de julio de 2012, en el que viene a reiterar las formuladas en la demanda de amparo, añadiendo que, en aplicación de la doctrina sobre un caso, que considera idéntico al suyo, contenida en la reciente Sentencia del Tribunal Europeo de Derechos Humanos de 10 de julio de 2012, asunto del Río Prada c. España, que estima la existencia de vulneración de los arts. 5.1 y 7 CEDH, debe llegarse a la conclusión de que también en su caso se ha producido una vulneración del derecho a la intangibilidad de las resoluciones judiciales firmes, que forma parte del derecho a la tutela judicial efectiva garantizado por el art. 24.1 CE, en relación con los derechos a la libertad (art. 17.1 CE) y a la legalidad penal (art. 25.1 CE), así como el principio de seguridad jurídica (art. 9.3 CE), lo que debe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Asociación Víctimas del Terrorismo presentó su escrito de alegaciones en este Tribunal el 24 de julio de 2012, interesando con carácter principal la inadmisión del recurso de amparo por falta de agotamiento de la vía judicial [art. 44.1 a) LOTC, en relación con el art. 50.1 a) LOTC], como ya se apreciara en casos similares al presente en SSTC 58/2012, 60/2012 y 63/2012, todas ellas de 29 de marzo, y 128/2012, de 18 de junio, el demandante de amparo no recurrió en casación, conforme a lo exigido por el art. 988 de la Ley de enjuiciamiento criminal (LECrim), contra el Auto de la Sección Primera de la Sala de lo Penal de la Audiencia Nacional de 3 de diciembre de 2008, que desestimó el recurso de súplica interpuesto contra la providencia de 29 de octubre de 2008 que aprobaba la propuesta de licenciamiento definitivo para el 20 de mayo de 2020,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Asociación Víctimas del Terrorismo solicita la desestimación del recurso de amparo, por entender que las resoluciones judiciales impugnadas no han incurrido en ninguna de las vulneraciones de derechos fundamentales que denuncia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septiembre de 2012. Considera en primer lugar el Fiscal que en el presente asunto, de conformidad con la doctrina sentada por este Tribunal en las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a lo exigido por el art. 988 LECrim, contra el Auto de la Sección Primera de la Sala de lo Penal de la Audiencia Nacional de 3 de diciembre de 2008, que desestimó el recurso de súplica interpuesto contra la providencia de 29 de octubre de 2008 que aprobaba la propuesta de licenciamiento definitivo para el 20 de mayo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en el que no fuera apreciada la concurrencia de la causa de inadmisión señalada, el Fiscal interesa la denegación del amparo, por entender que las resoluciones judiciales impugnadas no infringen los derechos fundamentales invocados por el recurrente, conforme resulta de la doctrina sentada por el Tribunal Constitucional en casos semejantes al presente a partir de la citada STC 39/2012, doctrina a la que se remite. Trasladando esta doctrina al presente caso, y en particular por lo que se refiere a la alegada lesión del derecho a la tutela judicial efectiva, en la vertiente del derecho de intangibilidad de las resoluciones firmes, señala el Fiscal que ni en el Auto de 22 de julio de 1996, en el que el Tribunal sentenciador acordó la acumulación de todas las condenas impuestas al recurrente, fijando un máximo de cumplimiento de treinta años, ni en ninguna otra resolución precedente a las impugnadas en amparo, se contiene ningún criterio de cómputo de los beneficios penitenciarios de redención. No se infringe, por tanto, el principio de intangibilidad por las resoluciones judiciales recurridas en amparo, que, acogiendo el criterio establecido en la Sentencia de la Sala de lo Penal del Tribunal Supremo núm. 197/2006, aprueban el licenciamiento definitivo del recurrente para el 20 de mayo de 2020, puesto que tales resoluciones no revisan ninguna situación jurídica establecida en una anterior resolución firme sobre el cómputo y aplicación de los beneficios de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octubre de 2012 se acordó señalar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3 de diciembre de 2008 de la Sección Primera de la Sala de lo Penal de la Audiencia Nacional, que desestimó el recurso de súplica presentado contra la providencia de 29 de octubre de 2008 por la que se acordó fijar como fecha para el licenciamiento definitivo del recurrente el día 20 de mayo de 2020,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defensa, a ser informado de la acusación y a un proceso con todas las garantías (art. 24.2 CE); a la legalidad penal (art. 25.1 CE), en conexión con los principios del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la Asociación Víctimas del Terrorismo interesan con carácter principal la inadmisión del recurso de amparo ex arts. 44.1 a) y 50.1 a) de la Ley Orgánica del Tribunal Constitucional (LOTC), por considerar incumplido el requisito del agotamiento de la vía judicial; subsidiariamente solicitan su desestimación, por entender que las resoluciones judiciales impugnadas no han vulnerado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las actuaciones conduce a apreciar la concurrencia del óbice aducido por el Ministerio Fiscal en su escrito de alegaciones, a la vista de lo declarado por el Pleno de este Tribunal en casos similares en las SSTC 58/2012, 60/2012 y 63/2012, todas ellas de 29 de marzo, la STC 128/2012, de 18 de junio, y la STC 152/2012, de 16 de julio, lo que determina la inadmisión del presente recurso de amparo por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recurrente en amparo impugna la providencia de 29 de octubre de 2008 de la Sección Primera de la Sala de lo Penal de la Audiencia Nacional, por la que se aprueba su licenciamiento definitivo para el día 20 de mayo de 2020, resolución confirmada en súplica mediante el Auto de 3 de diciembre de 2008 de la misma Sala y Sección,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meses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por la representación procesal y la defensa letrada del demandante de amparo (SSTC 58/2012, FJ 3; 60/2012, FJ 3; 63/2012, FJ 3; 128/2012, FJ 3; y 152/2012,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José Ramón Martínez de la Fuente Inchaurregui.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