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15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8742-2010, promovido por don Jon Koldo Aguinagalde Urrestarazu, representado por el Procurador de los Tribunales don Javier J. Cuevas Rivas y asistido por la Abogada doña Onintza Ostolaza Arruabarena, contra el Auto de 16 de julio de 2010, de la Sección Primera de la Sala de lo Penal de la Audiencia Nacional, dictado en la ejecutoria núm. 12-1991, dimanante del rollo de Sala núm. 12-1991, procedimiento núm. 1.373-1987 del Juzgado Central de Instrucción núm. 1, por el que se acuerda fijar como fecha de licenciamiento definitivo de las penas que cumple el recurrente el día 30 de julio de 2014, y contra el Auto de 15 de octubre de 2010 que desestimó el recurso de súplica interpuesto frente a dicha resolución.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diciembre de 2010, el Procurador de los Tribunales don Javier J. Cuevas Rivas, en nombre y representación de don Jon Koldo Aguinagalde Urrestarazu y bajo la dirección de la Abogada doña Onintza Ostolaza Arruabarena,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Sentencia firme de 3 de marzo de 1986 por la Sala de lo Penal de la Audiencia Nacional (rollo de Sala núm. 18-1985), conforme al Código penal (CP) de 1973, como autor de un delito de estragos, a la pena de seis años y un día de prisión mayor. Asimismo, conforme al mismo texto legal, fue condenado por dicha Sala en otras dos causas —rollos núms. 54-1984 y 12-1991— a varias penas de privación de libertad que suman sesenta y un años, seis meses y dos días, tras ser declarado autor de los delitos de pertenencia a banda armada, tenencia ilícita de armas, utilización ilegítima de vehículo de motor, asesinato y estragos.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petición del demandante, la misma Sala (Sección Primera), en su condición de último Tribunal sentenciador, acordó por Auto de 11 de enero de 2001 la acumulación procesal de las condenas impuestas al recurrente en las tres causas referidas, fijando como límite máximo de cumplimiento efectivo de las diversas penas el de treinta años de privación de libertad, conforme a lo establecido en el art. 70.2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19 de mayo de 2010, el director del centro penitenciario de Albolote (Granada), en el que se encontraba interno el recurrente, elevó a la Sala la hoja de cálculo de las condenas que extinguía con propuesta de licenciamiento definitivo para el 19 de julio de 2010. De la propuesta se dio traslado al Ministerio Fiscal a fin de que informara sobre la procedencia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Atendiendo al informe del Fiscal, el 15 de junio de 2010 la Secretaria judicial acordó interesar del centro penitenciario la práctica y remisión de nueva liquidación de condena de acuerdo con los criterios de cómputo de redención de penas por el trabajo fijados por la Sala Segunda del Tribunal Supremo en la Sentencia núm.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12 de julio de 2010, el centro penitenciario en el que se encontraba interno el recurrente elevó a la Sala nueva propuesta de liquidación de condena, señalándose como fecha de licenciamiento definitivo el 30 de julio de 2014, una vez aplicado el criterio establecido por la Sentencia de la Sala de lo Penal del Tribunal Supremo núm.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13 de julio siguiente se dio traslado al Fiscal y al interno de dicha propuesta a fin de que alegaran lo que consideraran oportuno. El Fiscal emitió informe favorable a la nueva propuesta, oponiéndose el interno a la misma, que propuso el 13 de julio de 2013 como fecha de licenciamiento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16 de julio de 2010, la Sección Primera de la Sala de lo Penal de la Audiencia Nacional acordó, a la vista de la propuesta formulada por el centro penitenciario, que, de conformidad con el criterio establecido por la citada Sentencia de la Sala de lo Penal del Tribunal Supremo, el licenciamiento definitivo del penado debería tener lugar el 30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anterior resolución interpuso el demandante de amparo recurso de súplica, invocando la lesión de los derechos a la libertad (art. 17.1 CE), del principio de legalidad penal (art. 25.1 CE), en relación con los principios de seguridad jurídica e irretroactividad de las disposiciones sancionadoras desfavorables (art. 9.3 CE) así como las vulneraciones del derecho a la tutela judicial efectiva en la vertiente de intangibilidad de las resoluciones judiciales firmes (art. 24.1 CE) y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súplica fue desestimado por Auto de 15 de octubre de 2010 de la misma Sala y Sección, en el que se rechaza que la aplicación al caso del criterio sentado por la citada Sentencia de la Sala de lo Penal del Tribunal Supremo núm. 197/2006 haya ocasionado vulneración alguna de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justificar la especial trascendencia constitucional del recurso en la necesidad de un pronunciamiento del Tribunal Constitucional sobre una cuestión entonces novedosa en su jurisprudencia, como lo era la doctrina de la Sala de lo Penal del Tribunal Supremo fijada en la Sentencia núm. 197/2006, de 28 febrero, dictada en el caso Henry Parot, dado que trasciende al caso concreto y afecta a numerosos penados que se hallan cumpliendo diversas penas acumuladas a cuyo cumplimiento se ha fijado un límite máximo, el recurrente fundamenta su demanda de amparo en los ocho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tutela judicial efectiva sin indefensión (art. 24.1 CE) y de los derechos a la defensa y a un proceso con todas las garantías (art. 24.2 CE), así como de los derechos reconocidos por los arts. 6 y 13 del Convenio europeo para la protección de los derechos humanos y de las libertades públicas (CEDH) y por el art. 14. 5 del Pacto internacional de derechos civiles y políticos (PIDCP). Sostiene el recurrente que la Audiencia Nacional acordó en las resoluciones impugnadas la aplicación en su caso de la nueva doctrina de la Sala de lo Penal del Tribunal Supremo que establece un nuevo criterio en cuanto al cómputo de las redenciones por trabajo, que desde entonces pasa a hacerse sobre cada pena acumulada en vez de sobre la pena resultante de la refundición, como se venía haciendo hasta dicha resolución. Considera que su caso es distinto, pues la aplicación del nuevo criterio no se hace al refundir las condenas sino al pronunciarse sobre la propuesta de licenciamiento definitivo, por lo que se desconocen anteriores resoluciones ya dictadas en la ejecutoria.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de amparo segundo se aduce la vulneración del principio de legalidad penal (art. 25.1 CE, en conexión con el art. 9.3 CE), por la interpretación realizada por la Audiencia Nacional de los arts. 70.2 y 100 CP 1973 y los arts. 66 del Reglamento de prisiones de 1956 y 202 del Reglamento penitenciario vigente. 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quebrando al tiempo la interpretación jurisprudencial del art. 100 CP 1973 realizada al respecto a lo largo de toda la historia penitenciaria, conforme a la cual la redención de penas por el trabajo se ha de abonar para el cumplimiento de la pena impuesta, de manera que el tiempo de redención es tiempo de cumplimiento de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de amparo tercero y cuarto denuncia el recurrente la vulneración del derecho a la tutela judicial efectiva en cuanto garantiza la intangibilidad de las resoluciones judiciales firmes (art. 24.1 CE), en relación con el derecho a la libertad (art. 17.1 CE) y los principios de legalidad y seguridad jurídica (art. 9.3 CE). Sostiene el demandante que el nuevo criterio sobre el cómputo de las redenciones sobre la totalidad de la condena que realiza la Sala de lo Penal del Tribunal Supremo, aplicado a su caso por la Audiencia Nacional en las resoluciones impugnadas en amparo, supone desconocer lo resuelto en su caso con carácter firme en el Auto de 11 de enero de 2001, resolución en la que el último Tribunal sentenciador acordó la acumulación de todas las condenas impuestas al recurrente, fijando como límite máximo de efectivo cumplimiento el de 30 años establecido en el art. 70.2 CP 1973, duración ésta que ha de ser el referente para el cómputo de las redenciones. De la misma manera, entiende que la aplicación de las redenciones de penas por el trabajo que a lo largo de los años fueron aprobadas por los Juzgados de vigilancia penitenciaria quedan de hecho sin contenido, si no se descuentan del límite máximo de cumplimiento de treinta años; acortamiento de su condena que venía haciéndose conforme a una constante interpretación jurisprudencial de las normas legales que no puede ser alterado en su perjuicio, retrasando la fecha de puesta en libertad —que debió producirse el 19 de julio de 2010—, por la aplicación de un nuevo criterio jurisprudencial desfavorable al penado que atenta contra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quinto motivo de amparo se alega la vulneración del principio de legalidad penal (art. 25.1 CE), en relación con los principios de seguridad jurídica e irretroactividad de las normas sancionadoras no favorables o restrictivas de derechos individuales (art. 9.3 CE) y con los derechos reconocidos por los arts. 7 CEDH y 15 PIDCP A juicio del recurrente, las resoluciones judiciales impugnadas conllevan una aplicación retroactiva (tácita) de una norma penal limitativa de derechos dictada en 2003 (la Ley Orgánica 7/2003, de 30 de junio, de medidas de reforma para el cumplimiento íntegro y efectivo de las penas, que dio nueva redacción al art. 78 del Código penal de 1995) a unos hechos cometidos antes de 1995, esto es, antes de la publicación del vigente Código penal y juzgados por sentencias firmes bajo la vigencia del Código penal de 1973, en ninguna de las cuales se había establecido ningún límite a los beneficios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motivo de amparo se alega la vulneración del derecho a la igualdad en la aplicación de la ley (art. 14 CE), en relación con el art. 14 CEDH , porque las resoluciones judiciales impugnadas incurren en un injustificado y arbitrario cambio de criterio al aplicar al caso la doctrina de la Sentencia de la Sala de lo Penal del Tribunal Supremo núm. 197/2006, que se aparta de forma arbitraria e irrazonable de su consolidado criterio jurisprudencial precedente sobre el cómputo de la redención de penas por el trabajo, en un momento en el que el Código penal de 1973 ya está derogado y resulta aplicable a un número muy limitado de internos, sin que existan razones que justifiquen dicho cambio de criterio. Se afirma que se trata de un cambio de criterio ad personam, constitucionalmente vedado, del que resulta que al recurrente se le deniega de manera discriminatoria lo que a otros muchos presos ya se les concedió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séptimo motivo de amparo se alega la vulneración del derecho a la libertad (art. 17.1 CE), en relación con los arts. 5 y 7.1 CDEH y los arts. 9.1 y 5 y 15.1 PIDCP. Tras resaltar que, conforme a la doctrina constitucional, la redención de penas por el trabajo afecta al derecho a la libertad personal, sostiene el recurrente, con cita del Voto particular conjunto formulado por varios magistrados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aduce la lesión del principio de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 Entiende que el art. 70.2 CP 1973 estaba inspirado en un humanismo penal contrario a la ejecución de reclusiones excesivamente prolongadas. El trabajo penitenciario, y las redenciones ordinarias y extraordinarias persiguen una finalidad resocializadora. La interpretación adoptada por los Autos impugnados dejaría sin efecto estas previsiones, a juicio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el otorgamiento del amparo, solicitando por otrosí en la demanda la suspensión de la ejecución de las resoluciones judiciales impugnadas, solicitud que fue reiterada en escrito de 28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marzo de 2012 la Sala Primera de este Tribunal acordó la admisión a trámite de la demanda de amparo y, a tenor de lo dispuesto en el art. 51 de la Ley Orgánica del Tribunal Constitucional (LOTC), requerir atentamente a la Sección Primera de la Sala de lo Penal de la Audiencia Nacional para que en el plazo no superior a diez días remitiera testimonio de las actuaciones correspondientes a la ejecutoria núm. 12-1991, rollo de Sala núm. 12-1991, interesándose al propio tiempo el emplazamiento de quienes fueron parte en el procedimiento, a excepción del recurrente, ya personada, para que pudieran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desestimó la solicitud de suspensión mediante Auto de 7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4 de julio de 2012 se tuvieron por recibidos los testimonios de las actuaciones en soporte informático remitidos por la Sección Primera de la Sala de lo Penal de la Audiencia Nacional y se procedió, conforme a lo establecido en el art. 52 LOTC, a dar traslado en copia en disco compacto de las actuaciones por plazo común de veinte días al Ministerio Fiscal y a las partes personadas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presentó su escrito de alegaciones en este Tribunal el 18 de julio de 2012, en el que reitera las formuladas en la demanda de amparo, poniendo de manifiesto que el Tribunal Europeo de Derechos Humanos acababa de dictar Sentencia de 10 de julio de 2012 en un caso similar (asunto Del Rio Prada c. España) que declara que la fijación y aplicación jurisprudencial del criterio de cómputo de redenciones cuestionado en la demanda de amparo es contrario a los arts. 5 y 7 CEDH en cuanto garantizan el derecho a la seguridad y libertad y el principio de legalidad de las infracciones y penas. En su opinión, dicho criterio debe marcar el análisis de la presente cuestión dado que es contrario a los derechos invocados la aplicación retroactiva de la jurisprudencia indicada en cuanto es desfavorable a sus intereses por suponer un alargamiento material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en este Tribunal su escrito de alegaciones el 13 de septiembre de 2012. Considera en primer lugar el Fiscal que la Sentencia del Tribunal Europeo de Derechos Humanos de 10 de julio de 2012, asunto Del Río Prada c. España, no afecta en este momento al presente caso, toda vez que dicha Sentencia no tiene carácter definitivo, de conformidad con lo previsto en el art. 44.2 CEDH, al ser susceptible de revisión por la Gran Sala a solicitud de parte en el plazo de tres meses, debiendo estarse entre tanto a la doctrina sentada por el Tribunal Constitucional en casos semejantes al presente desde la STC 39/2012, de 29 de marzo, hasta la reciente STC 152/2012, de 16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Fiscal sostiene que, como ya se apreciara en casos similares al presente en las SSTC 58/2012, 60/2012 y 63/2012, de 29 de marzo todas ellas, así como en la STC 128/2012, de 18 de junio, concurre el óbice de falta de agotamiento de la vía judicial [art. 44.1 a) LOTC, en relación con el art. 50.1 a) LOTC], lo que debe determinar la inadmisión del recurso de amparo, toda vez que el demandante de amparo no recurrió en casación (art. 988 de la Ley de enjuiciamiento criminal) contra el Auto de la Sección Primera de la Sala de lo Penal de la Audiencia Nacional de 15 de octubre de 2010 que desestimó el recurso de súplica interpuesto contra la anterior resolución de 16 de julio que aprobó la propuesta de licenciamiento definitivo del demandante para el 30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en el que no fuera apreciada la concurrencia de la causa de inadmisión señalada, el Fiscal interesa la denegación del amparo, por entender que las resoluciones impugnadas no infringen los derechos fundamentales invocados en la demanda, conforme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el Fiscal, con cita de los razonamientos contenidos en la STC 113/2012, de 24 de mayo, solicita la inadmisión por falta de previa invocación en la vía judicial de la queja que aduce la supuesta lesión de los derechos fundamentales de naturaleza procesal que se invocan en la demanda de amparo y que esencialmente se centran en pretendida indefensión causada por no haberle dado previa audiencia al penado antes de dictar el Auto de 16 de julio de 2010, que aplicó la doctrina de la Sentencia de la Sala Segunda del Tribunal Supremo núm. 197/2006. A lo expuesto añade el Fiscal que, en cualquier caso, pudo el penado alegar en el recurso de súplica que interpuso contra dicha resolución cuantas razones estimó oportunas para oponerse a la aplicación de la referida doctrina. Tampoco existiría lesión del derecho a la doble instancia penal, pues no cabe extender tal derecho, referido a la revisión de fallos penales condenatorios por un Tribunal superior, al supuesto de las resoluciones dictadas en fase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rechaza el Fiscal la supuesta vulneración del principio de legalidad de las infracciones y sanciones que se anuda tanto a la interpretación de las normas penales aplicables al caso como a la supuesta aplicación retroactiva del art. 78 del Código penal de 1995. Con apoyo en la STC 114/2012, FJ 3, niega que nos encontremos en el ámbito propio del derecho fundamental reconocido por el art. 25.1 CE, al tiempo que expresa que no ha habido aplicación retroactiva de una norma penal posterior, sino aplicación con criterio distinto y razonado de una norma penal entonces vigente y aplicable al caso —el art. 70.2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los motivos de la demanda que se refieren a la cuestión de fondo, y que se centran en combatir la aplicación que han hecho las resoluciones impugnadas de la doctrina establecida en la Sentencia de la Sala de lo Penal del Tribunal Supremo núm. 197/2006, que imputa los beneficios penitenciarios a cada una de las condenas impuestas en el mismo o en diferentes procesos y no al límite de cumplimento de treinta años que establecía el art. 70.2 CP 1973, señala el Fiscal que también estas quejas deben ser descartadas, a la vista de la ya referida doctrina constitucional (por todas, STC 114/2012, FFJJ 4 a 6).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11 de enero de 2001, en el que el último Tribunal sentenciador acordó la acumulación de todas las condenas impuestas al recurrente, fijando como límite máximo de efectivo cumplimiento el de 30 años establecido en el art. 70.2 CP 1973. Ahora bien —continúa el Fiscal— lo cierto es que en dicho Auto no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núm. 197/2006, aprueban el licenciamiento definitivo del recurrente para el 30 de julio de 2014, puesto que tales resoluciones no revisan ninguna situación jurídica establecida en una anterior resolución firme sobre el cómputo y aplicación de los beneficios de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en relación con el resto de motivos, y singularmente del que afirma la vulneración del art. 25.2 CE, propone su desestimación con cita de los argumentos expuestos en la STC 114/2012, FJ 7. De la misma forma que descarta la existencia de vulneración del derecho a la igualdad en la aplicación de la ley (art. 14 CE), pues no cabe apreciar en las resoluciones impugnadas voluntarismo selectivo ni un apartamiento inmotivado de sus precedentes, sino que se limitan a aplicar la jurisprudencia consolidada que se ha establecido sobre el problema planteado a partir de la Sentencia núm. 197/2006,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octubre de 2012 se acordó señalar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15 de octubre de 2010 de la Sección Primera de la Sala de lo Penal de la Audiencia Nacional, que desestimó el recurso de súplica presentado contra el anterior Auto de 16 de julio por el que se acordó fijar como fecha para el licenciamiento definitivo del recurrente el día 30 de julio de 2014, en aplicación del criterio establecido por la Sentencia de la Sala de lo Penal del Tribunal Supremo núm. 197/2006, de 28 de febrero, según la cual, en caso de condenas acumuladas, la redención de penas por el trabajo ha de computarse sobre cada una de las penas impuestas que se cumplen sucesivamente por orden de gravedad y no sobre el límite máximo de cumplimiento efectivo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con la argumentación que ha quedado expuesta en los antecedentes de esta resolución, la vulneración de los derechos fundamentales a la tutela judicial efectiva sin indefensión (art. 24.1 CE) y a la defensa (art. 24.2 CE); a la legalidad penal (art. 25.1 CE), en conexión con los principios del art. 9.3 CE; a la tutela judicial efectiva en la vertiente de intangibilidad de las resoluciones judiciales firmes (art. 24.1 CE), en relación con los principios de legalidad y seguridad jurídica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con carácter principal la inadmisión del recurso de amparo ex arts. 44.1 a) y 50.1 a) Ley Orgánica del Tribunal Constitucional (LOTC), por considerar incumplido el requisito del agotamiento de la vía judicial y subsidiariamente su desestimación, por entender que las resoluciones judiciales impugnadas no han vulnerado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las actuaciones conduce a apreciar la concurrencia del óbice aducido por el Ministerio Fiscal en su escrito de alegaciones, a la vista de lo declarado por el Pleno de este Tribunal en casos similares en las SSTC 58/2012, 60/2012 y 63/2012, todas ellas de 29 de marzo, así como en las más recientes SSTC 152/2012, de 16 de julio y 128/2012, de 18 de junio, lo que determina la inadmisión del presente recurso de amparo por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recurrente en amparo impugna el Auto de 16 de julio de 2010 de la Sección Primera de la Sala de lo Penal de la Audiencia Nacional, por el que se aprueba su licenciamiento definitivo para el día 30 de julio de 2014, resolución que fue confirmada en súplica mediante el Auto de 15 de octubre siguiente de la misma Sala y Sección, igualmente impugnado en amparo. Ahora bien, el recurrente acude directamente ante este Tribunal sin haber intentado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condenas acumuladas en cuanto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más de dos años antes de dictarse las resoluciones impugnadas en amparo mediante el Auto de la Sala de lo Penal del Tribunal Supremo de 7 de abril de 2008, dictado precisamente al resolver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del demandante de amparo (SSTC 58/2012, FJ 3; 60/2012, FJ 3; 63/2012, FJ 3; 128/2012, FJ 3 y 152/2012,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Jon Koldo Aguinagalde Urrestarazu.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