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10 de octubre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julio de 2012, el Procurador de los Tribunales don Federico Ruipérez Palomino, en nombre y representación de la Sociedad Yeregui Desarrollo, S.L., y bajo la dirección del Letrado don Francisco Javier Seijo Pérez, interpuso demanda de amparo contra Auto de la Sección Primera de la Sala de lo Contencioso-Administrativo del Tribunal Supremo recaído en recurso de casación núm. 6030-2011 contra Sentencia dictada por la Sección Primera del Tribunal Superior de Justicia del País Vasco en recurso núm. 188-2010.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8 de octubre de 2012, el Magistrado Excmo. Sr. don Juan José González Rivas manifestó su voluntad de abstenerse en el presente recurso de amparo y todas sus incidencias, por entender que concurría la causa establecida en el artículo 219.11 de la Ley Orgánica del Poder Judicial, supletoria de la Ley Orgánica 2/1979, del Tribunal Constitucional (artículo 80), al haber intervenido en instancia anterior, toda vez que en su condición de Magistrado de la Sala de lo Contencioso-Administrativo del Tribunal Supremo, formó parte de la Sección Primera de la Sala Tercera del Tribunal Supremo, que dictó el Auto de 24 de mayo de 2012, que ha sido recurrido en el citado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José González Rivas, Magistrado de este Tribunal,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de abstención del párrafo 11 a)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Excmo. Sr. don Juan José González Rivas en el recurso de amparo núm. 4773-2012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