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192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octubre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22 de febrero de 2012, el Procurador de los Tribunales don Francisco Velasco Muñoz-Cuellar, en nombre y representación de la Sociedad HD Covalco, S.A., y bajo la dirección del Letrado don Miró Ayats Vergés, interpuso demanda de amparo contra Autos de la Sección Primera de la Sala de lo Contencioso-Administrativo del Tribunal Supremo recaídos en recurso de casación núm. 3731-2010 contra Sentencia dictada por la Sección Segunda de la Audiencia Nacional en recurso núm. 483-2006.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11 de octubre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del Tribunal Constitucional (artículo 80), al haber intervenido en instancia anterior, toda vez que en su condición de Magistrado de la Sala de lo Contencioso-Administrativo del Tribunal Supremo, formó parte de la Sección Primera de la Sala Tercera del Tribunal Supremo, que dictó los Autos de 7 de julio y 15 de diciembre de 2011, que han sido recurridos en el citado recurso de amparo.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1019-2012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diecisiete de octubre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