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29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enero de 2011, el Procurador de los Tribunales don Jaime Briones Méndez interpuso recurso de amparo en nombre y representación de don Francisco Javier González Enríquez y otros contra el Auto del Juzgado de Primera Instancia núm. 87 de Madrid de 20 de octubre de 2010, que desestimó la oposición del Banco Bilbao Vizcaya Argentaria, S.A., (BBVA) frente a la solicitud de diligencias preliminares formulada por la asociación de usuarios de bancos, cajas de ahorros y seguros de España y acordó requerir al BBVA para que en plazo de treinta días entregara al Juzgado determinada información, para su puesta a disposición de la asociación de usuarios de bancos, cajas de ahorros y seguros de España; asimismo se impugna la providencia de 30 de noviembre de 2010, que denegó la personación de los recurrentes en el procedimiento de diligencias preliminares e inadmitió su petición de nulidad de actuaciones; la providencia de 20 de diciembre de 2010, que inadmitió a trámite el recurso de reposición formulado contra la anterior providencia; y, finalmente, la providencia de 22 de diciembre de 2010, que ordenó la devolución de los escritos oponiéndose a la asociación de usuarios de bancos, cajas de ahorros y seguros de España y de solicitud de eliminación de datos de carácter personal de la base de datos a entregar por el BBVA al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se solicitó en la demanda la suspensión de las resoluciones impugnadas en aplicación de los criterios previstos por 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 de marzo de 2012 la Sala Segunda de este Tribunal acordó formar la oportuna pieza para la tramitación del incidente sobre suspensión y conforme determina el art. 56 LOTC, concedió un plazo común de tres días a la parte recurrente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los demandantes de amparo presentó sus alegaciones el 9 de marzo de 2012, mediante escrito en el que se reitera la petición de suspensión consignada en el escrito de demanda. Pone de manifiesto en su escrito que la Sala Primera de este Tribunal Constitucional ha admitido y se encuentra tramitando, bajo el núm. 8640-2010, un recurso de amparo interpuesto por el BBVA contra el mismo Auto del Juzgado de Primera Instancia núm. 87 de Madrid de 20 de octubre de 2010. Recuerdan los demandantes que en relación con este recurso de amparo la Sala Primera ha dictado el ATC 16/2011, de 25 de febrero, por el que se acuerda la suspensión del citado Auto del Juzgado de Primera Instancia núm. 87 de Madrid. En consecuencia, consideran que esta situación conduce a que deba entenderse que se ha producido una satisfacción más allá del presente recurso de amparo de la pretensión cautelar solicitada en el primer otrosí de la demanda de amparo, que hace innecesario en este momento un pronunciamiento por parte de la Sala Segunda acerca de la suspensión del Auto y demás resoluciones que traen causa de aquél. No obstante, señala que si la Sala entendiera que es procedente pronunciarse sobre la medida cautelar solicitada en el primer otrosí de la demanda de amparo, debe entenderse que se han acreditado todos los presupuestos que justificarían la suspensión solicitada, pues si se produjera la cesión de datos personales antes de la resolución de este recurso de amparo, el eventual otorgamiento del amparo carecería de eficacia material al haberse producido una lesión irreversible de los derechos fundamentales invocados que se consumaría con la sola cesión de los datos a un tercero (asociación de usuarios de bancos, cajas de ahorros y seguros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15 de marzo de 2012, señaló que una vez que ya está acordada la suspensión del Auto del Juzgado de Primera Instancia núm. 87 de Madrid de 20 de octubre de 2010 no concurre la situación de perentoriedad alegada por los recurrentes en su demanda de amparo, pues la resolución cuya suspensión se solicita, por la vía de urgencia excepcional, ya fue acordada con anterioridad por la Sala Primera, suspensión que sigue estando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mayo de 2012 la Sala Primera de este Tribunal dictó Sentencia resolviendo el recurso de amparo núm. 8640-2010 (STC 96/2012, de 7 de mayo), cuya parte dispositiva declaró la nulidad del Auto de 20 de octubre de 2010, del Juzgado de Primera Instancia núm. 87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56 de la Ley Orgánica del Tribunal Constitucional faculta a este Tribunal para disponer la suspensión, total o parcial, de los efectos del acto o Sentencia impugnados cuando su ejecución “produzca un perjuicio al recurrente que pudiera hacer perder al amparo su finalidad”, circunstancia que no concurre en el presente caso, habida cuenta de que la STC 96/2012, de 7 de mayo, ha declarado la nulidad del Auto del Juzgado de Primera Instancia núm. 87 de Madrid de 20 de octubre de 2010, que es objeto de impugnación en el presente recurso de amparo y del que traen causa las posteriores resoluciones también impugnadas. En consecuencia, se ha producido una pérdida sobrevenida del objeto de la pretensión cautelar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por pérdida sobrevenida de objeto, la medida cautelar de suspensión solicitada por don Francisco Javier González Enríquez y otros en el recurso de amparo 444-2011.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