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26 de noviembre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septiembre de 2012 el Procurador de los Tribunales don José Andrés Peralta de la Torre, en nombre y representación de don Johannes Bloem y bajo la dirección de la Letrada doña Vilma V. Benel Calderón, interpuso recurso de amparo contra el Auto del Pleno de la Sala de lo Penal de la Audiencia Nacional de 12 de julio de 2012 por el que se desestima el recurso de súplica núm. 32-2012 interpuesto contra el Auto de la Sección Tercera de la misma Sala de 4 de junio de 2012 en rollo de Sala núm. 9-2012, dimanante del procedimiento de extradición núm. 2-2012 del Juzgado Central de Instrucción núm. 1, por el que se acuerda la extradición del recurrente en amparo al Reino de Tailandia para ser enjuiciado por delitos de apartamiento de menor de quince años de su padre y de abuso sexual de menor de quince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de conformidad con el art. 56.2 de la Ley Orgánica del Tribunal Constitucional (LOTC), pues la entrega extradicional del recurrente al Reino de Tailandia haría al amparo perder su finalidad en caso de ser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30 de octubre de 2012, acordó la admisión a trámite de la demanda de amparo, ordenando requerir atentamente, conforme a lo dispuesto en el art. 51 LOTC, al Pleno de la Audiencia Nacional para que en el plazo de diez días remitiese a este Tribunal testimonio de las actuaciones correspondientes al recurso de súplica núm. 32-2012, y a la Sección Tercera de la Sala de lo Penal de la Audiencia Nacional de las correspondientes al rollo de Sala núm. 9-2012, interesándose al propio tiempo el emplazamiento de quienes fueron parte en el procedimiento, a excepción de la demandante de amparo, ya personada, para que pudieran comparecer en el plazo de diez días en el presente proceso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por providencia de 30 de octubre de 2012, se procedió a formar la correspondiente pieza separada de suspensión, concediendo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recurrente, por escrito registrado en este Tribunal el 8 de noviembre de 2012, reiteró su petición de adopción de la medida cautelar a fin de que el recurso de amparo no pierda su finalidad. Sostiene, en síntesis, que la ejecución de la extradición originaría un perjuicio de imposible reparación, pues, dada la situación física y de salud del recurrente, que cuenta con 64 años de edad y presenta una movilidad reducida, difícilmente sobreviviría un año al sistema penitenciario tailandés, conocido como uno de los más precarios y duros del mundo.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fecha 12 de noviembre de 2012, el Fiscal afirma, en primer lugar, que este Tribunal viene reiterando que la regla general debe ser la improcedencia de la suspensión, que se configura así como una medida provisional de carácter excepcional y de aplicación restrictiva, de manera que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que cita, AATC 170/2001, de 22 de junio; 338/2005, de 26 de septiembre, y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a continuación que, según doctrina reiterada, procede suspender la ejecución de las resoluciones judiciales que la acuerdan la extradición, ya que puede ocurrir que dicha ejecución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(entre otros, AATC 291/1998, de 29 de diciembre, 80/2004, de 11 de marzo, y 291/2006, de 24 de julio).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quedan afectados por la suspensión provisional de unos Autos cuya ejecución inmediata provocaría consecuencias irreversibles, si bien la suspensión cautelar debe quedar circunscrita única y exclusivamente, a la declaración de procedencia de la extradición acordada por los órganos judiciales, y sin perjuicio de que el órgano judicial competente adopte las medidas oportunas para que el recurrente permanezca a disposición de la Justicia (AATC 2/2002, de 14 de enero; 80/2004, de 11 de marzo; y 202/2005, de 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vista de lo anterior, interesa el Fiscal que se acuerde la suspensión cautelar del Auto de la Audiencia Nacional de 12 de julio de 2012 que desestimó el recurso de súplica núm. 32-2012 interpuesto contra el dictado por la Sección Tercera de la Sala de lo Penal de dicha Audiencia, de 4 de junio de 2012, en lo que se refiere única y exclusivamente a la declaración de procedencia de la extradición del demandante de amparo; la suspensión cautelar, por contra, no debe extenderse a las medidas cautelares relativas a la situación personal del recurrente, cuya adopción o mantenimiento corresponde decidir al Tribunal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oído a las partes y al Ministerio Fiscal, con el resultado que consta en los antecedentes de esta resolución, debemos recordar que la facultad de este Tribunal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forma reiterada este Tribunal viene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ejecución de los Autos impugnados implicaría acceder en fase jurisdiccional (sin perjuicio de la última decisión sobre la entrega, que corresponde al Consejo de Ministros) a la extradición del recurrente en amparo al Reino de Tailandia, para ser enjuiciado por delitos de apartamiento de menor de quince años de su padre y de abuso sexual de menor de quince años, por lo que, obviamente, de tal ejecución se derivarían para el recurrente perjuicios personales que son, cuando menos,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Ministerio Fiscal,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y 202/2005, de 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la doctrina expuesta procede acordar la suspensión cautelar de los Autos impugnados en amparo, que se circunscribe única y exclusivamente a la declaración judicial de procedencia de la extradición, pues es claro que su ejecución, que conlleva la entrega de la recurrente a las autoridades del Estado requirente (sin perjuicio de la última decisión del Gobierno), podría convertir en ilusoria una eventual concesión del amparo, sin que se aprecie que la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Cumple finalmente advertir que la suspensión cautelar acordada lo es en todo caso sin perjuicio de las resoluciones judiciales que el Tribunal competente pueda adoptar para que el recurrente en amparo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suspensión de la ejecución del Auto del Pleno de la Sala de lo Penal de la Audiencia Nacional de 12 de julio de 2012 por el que se desestima el recurso de súplica núm. 32-2012; así como la medida cautelar de suspensión de la ejecución del Auto de 4 de junio de 2012 de la Sección Tercera de la misma Sala en rollo núm. 9-2012, dimanante del procedimiento de extradición núm. 2-2012 del Juzgado Central de Instrucción núm. 1, por el que se acuerda la extradición del recurrente en amparo al Reino de Tailandia.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