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221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2012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28 de noviembre de 2012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16 de julio de 2012, la Procuradora de los Tribunales doña Silvia Ayuso Gallego, en nombre y representación de don Angel Pardo Valera, interpuso demanda de amparo contra Auto de la Sección Primera de la Sala de lo Contencioso-Administrativo del Tribunal Supremo recaído en recurso de casación núm. 6401-2011, contra Sentencia dictada por la Sala de lo Contencioso-Administrativo del Tribunal Superior de Justicia de Madrid en recurso núm. 1244-2010.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12 de noviembre de 2012, el Magistrado Excmo. Sr. don Juan José González Rivas manifestó su voluntad de abstenerse en el presente recurso de amparo y todas sus incidencias, por entender que concurría la causa establecida en el artículo 219.11 de la Ley Orgánica del Poder Judicial (LOPJ), supletoria de la Ley Orgánica 2/1979, del Tribunal Constitucional (art. 80), al haber intervenido en instancia anterior en su condición de Magistrado de la Sala de lo Contencioso-Administrativo del Tribunal Supremo que dictó la resolución recurrida.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Juan José González Rivas,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 resolución impugnada en amparo, está incurso en la causa de abstención del párrafo 11 a)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Juan José González Rivas en el recurso de amparo núm. 4382-2012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veintiocho de noviembre de dos mil doce.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