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21 de marzo de 2012, el Procurador de los Tribunales don José Guerrero Tramoyeres, en representación de Endesa, S.A., y de Endesa Generación, S.A., interpuso recurso de amparo contra el Auto de la Sección Primera de la Sala de lo Contencioso-Administrativo del Tribunal Supremo, de 30 de junio de 2011, por el que se inadmite el recurso de casación núm. 6236-2010, interpuesto contra la Sentencia de la Sección Primera de la Sala de lo Contencioso-Administrativo de la Audiencia Nacional de 14 de septiembre de 2010, y contra el Auto de la misma Sala y Sección del Tribunal Supremo, de 19 de enero de 2012, que desestimó el incidente de nulidad de actuaciones promovido contra 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demandantes de amparo interpusieron ante la Sala de lo Contencioso-Administrativo de la Audiencia Nacional recurso contencioso-administrativo contra resolución de la Comisión Nacional de la Energía de 24 de abril de 2008, por la que se determinaban las obligaciones de pago de Endesa Generación, S.A., en aplicación de la Orden ITC/3315/2007, por la que se regula para el año 2006 la minoración de la retribución de la actividad de producción de energía eléctrica en el equivalente al valor de los derecho de emisión de gases de efecto invernadero asignados gratuitamente. En dicho recurso recayó Sentencia desestimatoria con fecha 14 de septiembre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dicha Sentencia prepararon recurso de casación en escrito presentado el 8 de octubre de 2010, en el que hacían constar el cumplimiento de los requisitos establecidos en el art. 89.1 de la Ley reguladora de la jurisdicción contencioso-administrativa (LJCA), indicando en el último apartado que “el recurso se prepara por entender que la Sentencia aludida se ha dictado con vulneración de las normas del ordenamiento jurídico aplicable y con infracción de las normas reguladoras de la Sentencia, lo que se detallará en el escrito de interposición que se proceda a deducir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presentado el escrito de interposición del recurso de casación, la Sección Primera de la Sala Tercera del Tribunal Supremo, en providencia de 25 de abril de 2011, acordó poner de manifiesto a las partes para alegaciones, por plazo común de diez días, la causa de inadmisión del recurso consistente en no haberse citado en el escrito de preparación las infracciones normativas o jurisprudenciales que la parte recurrente desarrollaría en el escrito de interposición [arts. 88.1; 89.1 y 93.2 a) LJCA, y Auto de la Sala de 10 de febrero de 2011]. Las recurrentes presentaron escrito alegando, en síntesis, que el motivo de inadmisión citado en la providencia resultaba contrario a la jurisprudencia consolidada que, de forma unánime, había venido manteniendo la Sala y que el motivo de inadmisión citado en la providencia resultaba contrario al derecho fundamental a la igualdad en la aplicación de la ley (art. 14 CE), a los principios de confianza legítima y seguridad jurídica consagrados en el art. 9.3 CE y al derecho fundamental a la tutela judicial efectiva consagrado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Primera de la Sala Tercera del Tribunal Supremo, mediante Auto de 30 de junio de 2011, inadmitió el recurso de casación porque omitió citar, al anunciar dichos motivos, la normativa supuestamente infringida por la Sala de instancia, de acuerdo con la doctrina fijada en el Auto del Tribunal Supremo de 10 de febrero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la anterior resolución promovieron las actoras incidente de nulidad de actuaciones, denunciando la infracción del art. 24 CE, por haber incurrido en incongruencia omisiva al no dar respuesta a dos de las alegaciones planteadas en su escrito y también en la vertiente de acceso a los recursos, así como del derecho a la igualdad establecido en el art. 14 CE, por existir una multitud de resoluciones configuradoras de la doctrina jurisprudencial aplicable hasta el momento, en la que no se exigían tales requisitos en recursos preparados frente a sentencias de la Audiencia Nacional, es decir, ante situaciones sustancialmente iguales. El incidente fue desestimado por Auto de 19 de enero de 2012, en el que se descartan las vulneraciones aducidas, rechazando, en primer lugar, la alegación de incongruencia omisiva, por haberse dado una respuesta global a las alegaciones de la parte. A lo anterior añade que la doctrina reiterada desde el Auto del Tribunal Supremo de 10 de febrero de 2011 no resulta contraria a los principios constitucionales que deben regir el proceso y, en concreto, al art. 24.1 CE, ya que el derecho a la tutela judicial efectiva es un derecho prestacional de configuración legal, que también se satisface con la obtención de una resolución de inadmisión fundada en la existencia de una causa legal que así lo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las recurrentes denunciaron, en primer lugar, la vulneración de su derecho a la tutela judicial efectiva del art. 24.1 CE, en la vertiente del derecho de acceso a los recursos legalmente establecidos, alegando que, hasta el Auto de 10 de febrero de 2011, la jurisprudencia no exigía la mención en el escrito de preparación del recurso de casación contra sentencias de la Audiencia Nacional de las normas y de la jurisprudencia que se consideraban vulneradas, afirmando que el recurso de casación preparado en el presente supuesto cumplía los requisitos de aquella jurisprudencia, y que los requisitos exigidos por el Tribunal Supremo no tienen cobertura legal . Por otra parte, se aduce la vulneración del derecho fundamental a la igualdad en la aplicación de la ley (art.14 CE), sosteniendo que el escrito de preparación cumplía todos los requisitos exigidos, al menos, hasta el Auto de 10 de febrero de 2011, y que, hasta fechas muy próximas a ese Auto, la misma Sección admitió recursos sin necesidad de cumplir lo que en este caso se exigió, sin que, por otro lado, se haya ofrecido una justificación suficiente y razonable del cambio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2012, la Sección Primera de este Tribunal acordó, por unanimidad, de acuerdo con lo dispuesto en el art. 50.1 a) de la Ley Orgánica del Tribunal Constitucional (LOTC), inadmitir a trámite el recurso de amparo,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50.3 LOTC, el Ministerio Fiscal interpuso recurso de súplica contra dicha providencia el 19 de septiembre de 2012, solicitando que se deje sin efecto la resolución de inadmisión, sin perjuicio de que se adopte la resolución procedente en orden a la admisión o no, por otras causas, del recurso de amparo interpuesto. Aduce el Fiscal que las alegaciones y el supuesto de hecho subyacentes vienen a coincidir sustancialmente con las de la demanda y sustrato de hecho y procesal del recurso de amparo seguido con el núm. 2399-2012 ante la propia Sala Primera de este Tribunal, supuesto en el que la demanda ha sido admitida a trámite mediante providencia de 16 de julio de 2012. En efecto, en dicho recurso la entidad demandante denuncia los mismos motivos en relación con su intento de preparación de un recurso de casación frente a Sentencia de la Audiencia Nacional, preparado conforme al criterio jurisprudencial imperante en dicho momento, que fue igualmente rechazada por no adecuarse a las nuevas exigencias de la doctrina de la Auto del Tribunal Supremo de 10 de febrero de 2011. Todo ello, a juicio del Ministerio público, y sin perjuicio de otras consideraciones con la concurrencia de otros motivos, debería llevar a la admisión del presente recurso, por cuanto en un supuesto sustancialmente similar se ha considerado que existe apariencia de posible vulneración del derecho fundamental, lo que avalaría el entendimiento de que el presente recurso no está absolutamente desprovisto de posible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25 de septiembre de 2012 se concedió a las recurrentes el plazo de tres días, de conformidad con lo dispuesto en el art. 93.2 LOTC, para que formulasen las alegaciones que considerasen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3 de octubre de 2012, las actoras presentaron escrito de alegaciones, manifestando su plena conformidad con el recurso de súplica interpuesto por el Ministerio Fiscal, por lo que interesaron que se estimara dicho recurso, con anulación de la providencia de 4 de julio de 2012 y admisión a trámite del recurso de amparo. A las consideraciones efectuadas por el Ministerio Fiscal, añaden que la posible inadmisión del recurso de amparo presentado, que resultaría de la desestimación del recurso de súplica, supondría una vulneración del principio de igualdad en la aplicación de la ley consagrado en el art. 14 CE, invocando en tal sentido la doctrina de este Tribunal sentada, entre otras, en la STC 49/1982, de 14 de julio, analizando la concurrencia en el presente caso de los presupuestos exigidos por la misma para apreciar la vulneración de tal principio. Por otra parte, insisten en los argumentos planteados en su demanda, afirmando que el recurso debe admitirse a trámite por existir una vulneración de los arts. 14 y 24 CE por parte de las resoluciones del Tribunal Supremo que han sido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25 de octubre de 2012, el Magistrado Excmo. Sr. don Juan José González Rivas manifestó su voluntad de abstenerse en el presente recurso de amparo por entender que concurría la causa establecida en el art. 219.11 LOPJ, al haber intervenido en instancia anterior, toda vez que en su condición de Magistrado de la Sala de lo Contencioso-Administrativo del Tribunal Supremo formó parte de la Sección Primera de dicha Sala que dictó los Autos de 30 de junio de 2011 y 19 de enero de 2012, dictados en el recurso de casación núm. 6236-2010.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Auto de 26 de octubre de 2012, la Sección Primera de este Tribunal, acordó estimar justificada la abstención formulada por el Magistrado Excmo. Sr. don Juan José González Rivas en el presente recurso de amparo y apartarle definitivamente del conocimiento del mismo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4 de julio de 2012, en la que se decidió, por unanimidad, inadmitir el recurso de amparo promovido por las demandantes, al entender concurrente la causa del art. 50.1 a) de la Ley Orgánica del Tribunal Constitucional (LOTC), por apreciar una manifiesta inexistencia de violación de un derecho fundamental tutelable en amparo. Alega el Fiscal que por la Sala Primera de este Tribunal se admitió por providencia de 16 de julio de 2012 el recurso de amparo núm. 2399-2012, cuyo supuesto de hecho y quejas coinciden sustancialmente con el que aquí nos ocupa. Por tanto, interesa que se deje sin efecto la resolución de inadmisión, sin perjuicio de que se adopte posteriormente la resolución que proceda en orden a la admisión o no del recurso de amparo. Apoyan esta petición las recurrentes, si bien interesan también la admisión a trámite del recurso de amparo, por considerar manifiesta la vulneración de los arts. 14 y 24.1 CE por las resoluciones del Tribunal Supremo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la vista de las alegaciones reseñadas, el recurso de súplica del Fiscal ha de ser estimado. Como en el mismo se pone de relieve, la Sala Primera de este Tribunal acordó con fecha 16 de julio de 2012 la admisión a trámite de un asunto sustancialmente igual (recurso núm. 2399-2012), en el que coinciden el sustrato fáctico y las quejas de la entidad allí recurrente. En efecto, el examen de dicho recurso permite comprobar que se refiere a un recurso de casación preparado contra una Sentencia de la Sala de lo Contencioso-Administrativo de la Audiencia Nacional, que fue posteriormente inadmitido por parte del Tribunal Supremo por defectuosa preparación del mismo, en aplicación del nuevo criterio doctrinal sentado a partir del ATS de 10 de febrero de 2011. Y, al igual que en el recurso que nos ocupa, la allí recurrente en amparo adujo en su demanda la vulneración del derecho a la igualdad en la aplicación de la ley (art. 14 CE), y del derecho a la tutela judicial efectiva (art. 24.1 CE), en la vertiente del derecho de acceso al recurso. En definitiva, existe una sustancial identidad entre los dos supuestos, de modo que, si en el recurso núm. 2399-2012 se apreció que era verosímil la existencia de la lesión denunciada, lo que determinó que, constatado el cumplimiento del resto de requisitos exigidos por la Ley Orgánica del Tribunal Constitucional, se admitiera a trámite el recurso de amparo, en el presente caso no puede fundarse la inadmisión en la manifiesta inexistencia de lesión de un derecho fundamental tutelable en amparo, como se resolvió en la providencia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como advertimos en el ATC 35/2009, de 4 de febrero, FJ 3,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por razones distintas a las aquí resueltas (ATC 11/2004 de 12 de enero) y reponiendo por tanto las actuaciones al momento anterior a dictarse la providencia anulada (AATC 13/2003, de 20 de enero, 182/2003, de 2 de julio, y 48/2006, de 14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Dejar sin efecto la providencia de 4 de julio de 2012,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