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16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octubre de 2012, la Procuradora de los Tribunales doña Isabel Cañedo Vega, en nombre y representación de doña María Luisa Cavas Moreno, don Juan Manuel Laorden Nuñez, doña María Mercedes Escribano Piqueras, don José Gerardo Espinosa Martínez, don Fernando Javier Bernad Guerrero, doña María Concepción Serrano Jiménez, doña Juana Catalina Ros Martínez, don Andrés Carrillo González, don Vicente Braojos López, don Jesús Lorenzo Martín Aguado, doña Carmen Martínez Abellan, doña María Isabel Santos Ortuño, doña Isabel Teresa Beltran Valenzuela, doña María Jesús Mouliaa Correas, y don Julian Pérez Charco, bajo la dirección del Letrado don Julian Pérez Charco, interpuso demanda de amparo contra providencia y Sentencia de la Sección Séptima de la Sala de lo Contencioso-Administrativo del Tribunal Supremo recaída en recurso de casación núm. 78-2009 contra la dictada por la Sección Séptima del Tribunal Superior de Justicia de Madrid en recurso núm. 738-2004.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enero de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en su condición de Magistrado de la Sala de lo Contencioso-Administrativo del Tribunal Supremo, que formó parte de la Sección Séptima de la Sala Tercera del Tribunal Supremo, que dictó la Sentencia de fecha 28 de noviembre de 2011, recurrida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LOTC y 221.4 de la Ley Orgánica del Poder Judicial,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Excmo. Sr. don Juan José González Rivas en el recurso de amparo núm. 5740-2012 y apartarle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