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25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abril de 2012 tuvo entrada en el Registro General de este Tribunal oficio de la Sección Segunda de la Sala de lo Contencioso-Administrativo del Tribunal Superior de Justicia de Madrid, al que se acompaña, junto con el testimonio del recurso de apelación núm. 644-2010 que se tramita ante dicha Sala, el Auto de 21 de febrero de 2012, por el que se acuerda plantear cuestión de inconstitucionalidad respecto del apartado 7 del art. 16.2 b) de la Ley 20/1998, de 27 de noviembre, de ordenación y coordinación de los transportes urbanos de la Comunidad de Madrid, por posible vulneración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Decreto de 22 de enero de 2008 (confirmado en reposición por resolución de 22 de octubre de 2008), el Delegado de Área de Gobierno de Seguridad y Movilidad del Ayuntamiento de Madrid impuso una sanción de 2.000 euros a un taxista, con suspensión de la licencia de auto-taxi durante seis meses, por esperar y recoger viajeros fuera de la parada oficial; lo que constituye infracción administrativa conforme al art. 16 de la Ley 20/1998, de 27 de noviembre, de ordenación y coordinación de los transportes urbanos de la Comunidad de Madrid, en relación con el art. 60 b) 7 del Decreto 74/2005, de 28 de julio, por el que se aprueba el Reglamento de los servicios de transporte público urbano en automóviles de turismo.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las referidas resoluciones el interesado interpuso recurso contencioso-administrativo, que fue desestimado por Sentencia de 8 de marzo de 2010 del Juzgado de lo Contencioso-Administrativo núm. 27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(recurso núm. 644-2010). La Sección Segunda de la Sala de lo Contencioso-Administrativo del Tribunal Superior de Justicia de Madrid, por providencia de 28 de octubre de 2011, otorgó un plazo de diez días a las partes y al Ministerio Fiscal para efectuar alegaciones sobre la pertinencia de plantear cuestión de inconstitucionalidad (art. 35.2 de la Ley Orgánica del Tribunal Constitucional: LOTC) en relación con el apartado 7 del art. 16.2 b) de la Ley 20/1998, de 27 de noviembre, de ordenación y coordinación de los transportes urbanos de la Comunidad de Madrid, al considerar que este precepto podría vulnerar el principio de legalidad sancionadora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Ayuntamiento de Madrid formuló alegaciones aduciendo que, en su opinión, no procedía plantear la cuestión de inconstitucionalidad. Por el contrario, el Ministerio Fiscal estimó pertinente su planteamiento. La parte recurrente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21 de febrero de 2012, la Sección Segunda de la Sala de lo Contencioso-Administrativo del Tribunal Superior de Justicia de la Comunidad de Madrid acordó plantear la presente cuestión de inconstitucionalidad respecto del apartado 7 del art. 16.2 b) de la Ley 20/1998, de 27 de noviembre, de ordenación y coordinación de los transportes urbanos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invocando la doctrina de las SSTC 341/1993, de 18 de noviembre, y 26/2005, de 14 de febrero, considera que el precepto cuestionado vulnera el principio de legalidad sancionadora establecido en el art. 25.1 CE, en cuanto que efectúa una remisión en blanco a un reglamento para la configuración ex novo de obligaciones o prohibiciones cuya contravención da origen a una infracción sancionable; en efecto, el inciso inicial del referido art. 16.2 b) dispone que “tendrá la consideración de infracción grave el incumplimiento de las condiciones esenciales de la licencia, salvo que deba considerarse como infracción muy grave”, y establece seguidamente —en el apartado 7 del mismo precepto— que entre esas condiciones esenciales se incluirán, además de las expresamente previstas en el mismo precepto, “cualesquiera otras que puedan establecerse reglamentariamente”.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2012 el Pleno del Tribunal Constitucional acordó admitir a trámite la cuestión de inconstitucionalidad y deferir el conocimiento de la misma a la Sala Primera, a la que por turno objetivo le había correspondido; a la vez, de conformidad con el art. 37.3 LOTC, dar traslado de las actuaciones recibidas al Congreso de los Diputados, al Senado, al Gobierno y al Fiscal General del Estado, así como al Gobierno y a la Asamblea de la Comunidad de Madrid, al objeto de que, en el improrrogable plazo de quince días, pudieran personarse y formular las alegaciones que estimaran convenientes. De igual modo, acordó comunicar la providencia a la Sección Segunda de la Sala de lo Contencioso-Administrativo del Tribunal Superior de Justicia de Madrid a los efectos previstos en el art. 35.3 LOTC y publicar la incoación de la cuestión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en este Tribunal el 6 de junio de 2012, comunicó que dicha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mediante escrito registrado en este Tribunal el 8 de junio de 2012, comunicó a su vez que la Cámara había adoptado el acuerdo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presentado en el Registro General de este Tribunal el 13 de junio de 2012, se personó y formuló alegaciones, interesando la desestimación de la presente cuestión, por entender que la colaboración del reglamento para deslindar condiciones esenciales y no esenciales de las licencias o autorizaciones de auto-taxi reguladas por la Ley de la Asamblea de Madrid 20/1998 no vulnera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14 de junio de 2012, el Presidente de la Asamblea de la Comunidad de Madrid comunicó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Registro General de este Tribunal el 18 de junio de 2012, la Letrada de la Comunidad de Madrid se personó en este proceso en representación del Gobierno de dicha Comunidad Autónoma y formuló alegaciones, interesando igualmente que se dicte Sentencia que declare la constitucionalidad del precepto cuestionado, por entender que no infringe el principio de legalidad sancionadora del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presentó su escrito de alegaciones en este Tribunal el 27 de junio de 2012, razonando que el precepto legal cuestionado contiene una remisión en blanco a la potestad reglamentaria que vulnera el principio de legalidad sancionadora del art. 25.1 CE. En consecuencia, interesó que se declarase la inconstitucionalidad y nulidad del apartado 7 del art. 16.2 b) de la Ley de la Asamblea de Madrid 20/1998.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Madrid plantea cuestión de inconstitucionalidad respecto del apartado 7 del art. 16.2 b) de la Ley 20/1998, de 27 de noviembre, de ordenación y coordinación de los transportes urbanos de la Comunidad de Madrid. Este precepto ha sido declarado inconstitucional y nulo por la STC 13/2013, de 28 de enero (que resuelve la cuestión de inconstitucionalidad núm. 5371-2011, promovida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una vez anulado por inconstitucional, el precepto cuestionado ha sido expulsado del ordenamiento jurídico, lo que impone ahora apreciar, conforme a reiterada jurisprudencia de este Tribunal (por todos, AATC 271/2005, de 21 de junio, FJ único; 290/2007, de 19 de junio, FJ único; y 231/2012, de 10 de diciembre,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2219-2012,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