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8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15 de junio de 2012, por doña Cristina González Alonso, Procuradora de los Tribunales, en nombre y representación de doña María Loreto Sabaté Grau, interpuso recurso de amparo contra el Auto del Juzgado de Primera Instancia e Instrucción núm. 3 de Mislata (Valencia), de 30 de abril de 2012, que desestimó el incidente de nulidad de actuaciones promovido contra diligencia de ordenación de fecha 14 de octubre de 2011, por la que se convocó a las partes a la subasta pública de una plaza de garaje propiedad de la recurrente, trabada en el procedimiento sobre ejecución de títulos no judiciales núm. 829-2007.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ahora interesa, los hechos relevantes para la resolución del presente incidente son resumidamente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fundamento en una póliza de crédito, una póliza de contratos de arrendamientos financieros y garantías de operaciones mercantiles y dos pólizas de contratos de arrendamiento financiero impagadas, el Juzgado de Primera Instancia e Instrucción núm. 3 de Mislata (Valencia) inició, a instancia de la entidad Banco Pastor, S.A., procedimiento de ejecución de títulos no judiciales núm. 829-2007 contra la sociedad mercantil Arsacivil, S.A., y sus fiadores solidarios, entre los que figuraba la ahora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notificó en el domicilio señalado en las mencionadas pólizas, con resultado negativo, la diligencia de ordenación de 4 de octubre de 2011, por la que se convocaba a las partes al acto de subasta pública de una plaza de garaje propiedad de la recurrente, trabada en el citado procedimiento. En la citada diligencia se hace constar que, “caso de no ser hallados los demandados en el domicilio señalado a efecto de notificaciones en las pólizas, se tendrá por notificada a los ejecutados la presente resolución, con la publicación del edicto cuya expedición se acuerda”.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subasta judicial se celebró en la fecha anunciada y, ante la falta de licitadores, el Juzgado acordó por decreto de 30 de diciembre de 2011 adjudicar la citada plaza de garaje al Banco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Habiendo tenido conocimiento extrajudicial de la subasta celebrada y de su resultado, la demandante de amparo se personó en el procedimiento y promovió incidente de nulidad de actuaciones, que fue desestimado por el Auto impugnado de fecha 30 de abril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la recurrente, como ya hiciera antes en el previo incidente de nulidad de actuaciones, denuncia la vulneración de su derecho a obtener la tutela judicial efectiva sin indefensión (art. 24.1 CE), al haber procedido el Juzgado a notificar la diligencia de ordenación de 4 de octubre de 2011 en domicilio distinto del real y del utilizado, de hecho, por el propio órgano judicial para dirigirse a la recurrente en otras ocasiones dentro del mismo procedimiento de ejecución, y haberlo hecho además con infracción asimismo de lo ordenado en materia de notificaciones en los arts. 155 y siguientes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y al amparo de lo dispuesto en el art. 56 de la Ley Orgánica del Tribunal Constitucional (LOTC) la recurrente solicitó la suspensión cautelar de la adjudicación del bien inmueble subastado en su día, impidiendo cualquier acto de disposición sobre el mismo, a fin de evitar daños y perjuicios de imposible o muy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marzo de 2013 la Sala Primera de este Tribunal acordó admitir a trámite la demanda y, por nueva providencia del mismo día, formar la presente pieza separada de suspensión y conceder, de conformidad con lo dispuesto en el art. 56 LOTC, plazo común de tres días al Ministerio Fiscal y a la demandante de amparo para que alegaran lo que estimaran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marzo de 2013 la recurrente presentó sus alegaciones, renovando su petición de suspensión que justifica en la doctrina de este Tribunal de la que se hace eco, añadiendo ahora que la suspensión no ha de producir además ninguna perturbación grave para los intereses generales o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siguiente día 22 de marzo de 2013, interesó el otorgamiento de la suspensión solicitada con fundamento en el criterio, muchas veces subrayado por la jurisprudencia constitucional, que rige en materia de suspensión de la ejecución de resoluciones judiciales que, como es el caso, producen o arriesgan la transmisión del dominio de bienes inmuebles a favor de terceros de buena fe.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expuesto en los antecedentes de esta resolución, en el presente caso la demandante de amparo ha denunciado la indefensión que ha sufrido al no haberle sido notificada correctamente por el órgano judicial la celebración de la subasta de una plaza de garaje de su propiedad, que concluyó con su adjudicación. Por este motivo ha solicitado la suspensión cautelar de las resoluciones judiciales impugnadas y la retroacción de las actuaciones al momento anterior al de la convocatoria de la subasta, pues, según ha razonado, de no acordarse la suspensión de su ejecución podrían producirse actos de disposición sobre el citado bien inmueble y consolidarse una situación difícilmente reversible. Por estas mismas razones, el Ministerio Fiscal ha interesado igualmente la concesión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consolidada doctrina constitucional de la que son buena muestra entre otros muchos los AATC 220/2008, de 14 de julio, FJ 2; y 64/2009, de 23 de febrero, FJ 2, citados por el Ministerio Fiscal, o el mucho más reciente, ATC 56/2013, de 13 de febrero, FJ 2, este Tribunal ha admitido, en efecto,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arreglo a esta doctrina constitucional y teniendo en cuenta las circunstancias que antes se han recordado, y sin prejuzgar la decisión de fondo del recurso, procede acordar la suspensión solicitada, puesto que en otro caso se podría materializar la transmisión del dominio del bien inmueble considerado por parte del adjudicatario del mismo y crearse, en consecuencia, una situación difícilmente reversible que haría perder la finalidad al presente recurso de amparo. Por lo demás, no se advierte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Otorgar la suspensión del decreto de adjudicación de 30 de diciembre de 2011 dictado por el Juzgado de Primera Instancia e Instrucción núm. 3 de Mislata (Valencia) en el procedimiento de ejecución de títulos no judiciales núm. 829-2007.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