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6 de mayo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3068-2011, promovido por Bodegas Antaño, S.A., representada por la Procuradora doña Mercedes Caro Bonilla y asistida por el Letrado don José Antonio Garrote Mestre, contra la Sentencia de la Sección Segunda de la Sala de lo Contencioso-Administrativo del Tribunal Superior de Justicia de Castilla y León, con sede en Valladolid, de 22 de marzo de 2011, y contra la resolución sancionadora del Consejero de Agricultura y Ganadería de la Junta de Castilla y León, de 19 de octubre de 2006. Ha comparecido y formulado alegaciones el Letrado de la Comunidad Autónoma de Castilla y León. Ha intervenido el Ministerio Fiscal.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27 de mayo de 2011, la Procuradora de los Tribunales doña Mercedes Caro Bonilla, actuando en nombre y representación de Bodegas Antaño, S.A., interpuso recurso de amparo frente 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14 de marzo de 2006 los servicios de inspección del Consejo Regulador de la denominación de origen “Rueda” levantaron acta de infracción a la firma Bodegas Antaño, S.A., que dio origen a la incoación de un expediente sancionador a resultas del cual, mediante Orden del Consejero de Agricultura y Ganadería de la Junta de Castilla y León de 19 de octubre de 2006, se impuso a la recurrente una multa de trescientos mil euros por la comisión de una infracción administrativa muy grave tipificada en el art. 40.2 d) de la Ley 24/2003, de 10 de julio, de la viña y del vino.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alegaciones realizadas en el curso del procedimiento sancionador Bodegas Antaño, S.A., invocó la vulneración del art. 25.1 CE por infracción de los principios de legalidad y tipicidad, al entender que la conducta no era constitutiva de ninguna de las infracciones tipificadas en la Ley autonómica 8/2005, de 10 de junio, de la viña y del vino de Castilla y León, no resultando de aplicación en el ámbito territorial de Castilla y León el art. 40.2 d) de la Ley estatal 24/2003, de 10 de julio, de la viña y del vino, por no tratarse de un precepto de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sancionadora rechaza esta alegación por considerar, en esencia, que la expresión “legislación básica” que contiene el art. 42 de la Ley 8/2005, de Castilla y León cuando establece: “con carácter general, el régimen sancionador en las materias objeto de la presente Ley será lo establecido en la legislación básica de la Viña y del Vino, sin perjuicio de lo que se dispone en los artículos siguientes” tiene carácter genérico y remite a la totalidad del régimen sancionador estatal previsto en la Ley 24/2003, sin distinguir entre preceptos básicos y no básicos, y que, en todo caso, el Derecho estatal tiene carácter supletorio de acuerdo con lo establecido en el art. 149.3 CE, precepto que, si bien no habilita al Estado para dictar normas al amparo de dicha cláusula, hace entrar en juego a título supletorio esta disposición del Estado dictada en ejercicio de sus competencias, al no poderse dejar sin sanción una conducta tan grave como la cometida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empresa sancionada interpuso recurso contencioso-administrativo, que fue estimado parcialmente por Sentencia de 22 de marzo de 2011 de la Sección Segunda de la Sala de lo Contencioso-Administrativo del Tribunal Superior de Justicia de Castilla y León, con sede en Valladolid, que anula la resolución sancionadora únicamente en el apartado relativo a la cuantía de la multa impuesta, rebajándola a sesenta mil euros, y mantiene el resto de los pronunciamientos por considerar que cuando la Ley autonómica utiliza la expresión “legislación básica de la Viña y el Vino” se está refiriendo a la Ley 24/2003 en su conjunto, sin excluir las normas contenidas en ella que no son calificadas por la propia Ley como básicas, pero que son aplicables en las Comunidades Autónomas en tanto no sean desplazadas con el ejercicio de las competencias normativas autonómicas. En este sentido, la resolución impugnada sostiene que la Comunidad Autónoma de Castilla y León, al aprobar el citado art. 42 de la Ley 8/2005 en el ejercicio de su competencia exclusiva, ha asumido también las normas reguladoras de las infracciones administrativas que no tienen el carácter de básicas en la Ley 24/2003 y, en consecuencia, sería de aplicación en dicha Comunidad el art. 40.2 d) de la Ley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Bodegas Antaño, S.A., alega la vulneración del derecho a la legalidad sancionadora previsto en el art. 25.1 CE al entender que, contrariamente a lo afirmado en la resolución administrativa sancionadora y en la Sentencia del Tribunal Superior de Justicia de Castilla y León de 22 de marzo de 2011, los preceptos no básicos de la Ley 24/2003, de la viña y del vino, no son aplicables de forma supletoria conforme al art. 149.3 CE, pues, a su juicio, aunque ello es así cuando la Comunidad Autónoma no regula la materia, la situación cambia radicalmente cuando existe, como aquí sucede, una ley autonómica que establece un régimen sancionador que comprende, por un lado, los tipos básicos definidos por el legislador estatal -entre los que no se encuentra el aplicado en el caso- y, por otro, aquellos específicos creados por la propia norma territorial. Además, añade la recurrente, la Ley 8/2005 de las Cortes de Castilla y León, no declara en ningún momento de aplicación supletoria la Ley 24/2003 de la viña y del vino, acaso porque de haberlo hecho habría incurrido en una causa de inconstitucionalidad, de acuerdo con la doctrina recogida en la STC 157/2004, de 23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para la sociedad mercantil recurrente entender, como hacen las resoluciones impugnadas, que la Comunidad de Castilla y León no ha desplazado sino que ha asumido las normas de la Ley 24/2003 reguladoras de las infracciones administrativas que no tienen carácter básico, choca frontalmente con la doctrina recogida en la STC 157/2004 donde, con cita de la STC 132/1989, se pone de manifiesto que “cuando el legislador autonómico regula materias de su competencia sobre las que existe normativa estatal viene a desplazar tal normativa, aplicándose con preferencia en cada Comunidad Autónoma las disposiciones propias” (FJ 13). La recurrente no niega que el legislador autonómico pueda remitirse a las disposiciones básicas estatales para regular una materia, incluso sancionadora, como de hecho hace el art. 42 de la Ley 8/2005 de Castilla y León, pero esto no es lo mismo que considerar aplicable, en virtud del principio de supletoriedad del Derecho estatal (art. 149.3 CE), aquello a lo que no hay remisión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actora expone que, en el momento de producirse los hechos, era de aplicación lo dispuesto en el art. 44.3 e) del Reglamento de la denominación de origen “Rueda”, aprobado por Orden del Ministerio de Agricultura, Pesca y Alimentación 2059/2002, de 21 de julio, donde se tipificaba como infracción grave la indebida tenencia, negociación o utilización de los documentos, precintas, etiquetas, sellos, etc., propios de la denominación, sancionando esta conducta “con multa de veinte mil pesetas al doble del valor de la mercancía o productos afectados cuando aquél supere dicha cantidad, y con su decomiso”.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con la solicitud de que se dicte Sentencia por la que se reconozca el derecho de la recurrente a la legalidad en materia sancionadora y, a fin de reparar la lesión padecida, se anulen las resoluciones citadas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Secretaria de Justicia de la Sala Primera de este Tribunal se concedió, de acuerdo con lo previsto en el art. 49.4 de la Ley Orgánica del Tribunal Constitucional (LOTC), un plazo de diez días a la Procuradora doña Mercedes Caro Bonilla a fin de que suscribiera el escrito de demanda, advirtiéndole de que la falta de subsanación del defecto advertido en el plazo indicado determinaría la inadmisión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Subsanado el defecto antes citado, por providencia de 1 de octubre de 2012 la Sala Segunda de este Tribunal acordó, de conformidad con lo dispuesto en el art. 11.2 LOTC, admitir a trámite la demanda de amparo formulada por la Procuradora doña Mercedes Caro Bonilla en nombre y representación de Bodegas Antaño, S.A. En la misma providencia también se acordó, en aplicación de lo dispuesto en el art. 51 LOTC, dirigir atenta comunicación a la Consejería de Agricultura y Ganadería de la Junta de Castilla y León para que en el plazo de diez días remitiera certificación o fotocopia adverada del expediente correspondiente al procedimiento sancionador núm. 7-2006, y a la Sección Segunda de la Sala de lo Contencioso-Administrativo del Tribunal Superior de Justicia de Castilla y León, con sede en Valladolid, a fin de que en el plazo de diez días remitiera certificación o copia adverada de las actuaciones correspondientes al procedimiento ordinario núm. 1861-2006, interesándose al propio tiempo el emplazamiento de quienes fueron parte en el proceso, a excepción de la empresa demandante de amparo, ya personada, para que pudieran comparecer en el plazo de diez días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Primera de 4 de diciembre de 2012, se tuvieron por recibidos los testimonios de las actuaciones reclamadas, por personada y parte a la Comunidad Autónoma de Castilla y León y, con arreglo a lo dispuesto en el art. 52.1 LOTC, se concedió al Ministerio Fiscal y a las partes personadas un plazo común de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en este Tribunal el 16 de enero de 2013, en el que interesa se dicte Sentencia estimatoria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detalladamente los antecedentes del asunto y antes de entrar en el examen de fondo, el Fiscal pone de manifiesto que en el presente recurso se plantea por la demandante, Bodegas Antaño, S.A., una queja igual a la suscitada por dicha empresa en otros tres recursos de amparo, como consecuencia de que a dicha sociedad mercantil le fueron tramitados simultáneamente cuatro expedientes sancionadores por la misma infracción, recursos que ya han sido resueltos por el Tribunal Constitucional en las SSTC 90/2012, de 7 de mayo, 109/2012, de 21 de mayo, y 127/2012, de 18 de junio, en las que se otorga el amparo a la mercantil demandante, por lo que reitera las alegaciones formuladas en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Ministerio Fiscal expone que la disposición final segunda de la Ley estatal 24/2003, de 10 de julio, de la viña y del vino, no atribuye carácter básico al art. 40.2 d), y puesto que la Ley 8/2005, de 10 de junio, de la viña y del vino de Castilla y León, que recoge todo aquello que debe estar comprendido en una norma con rango de ley, no ha tipificado como ilícito administrativo la conducta sancionada por la ley estatal en el citado precepto, sólo puede concluirse que el legislador autonómico, al ejercitar sus competencias exclusivas dictando la Ley 8/2005, no contempló sancionar la conducta que se tipifica en el art. 40.2 d) de la Ley 24/2003.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refuta la afirmación de que el art. 40.2 d) de la Ley 24/2003 resulta aplicable como Derecho supletorio conforme al principio establecido en el art. 149.3 CE, argumentando que la atribución al Derecho estatal de dicho carácter supletorio tiene como finalidad evitar la existencia de lagunas, como claramente pusiera de relieve la STC 157/2004, de 23 de septiembre, FJ 13, pero añadiendo que no puede sostenerse que exista una laguna cuando el legislador autonómico, actuando en el ejercicio de sus competencias, ha establecido un régimen sancionador con tipificación de determinadas infracciones y exclusión de otras, de manera que la aplicación supletoria del Derecho estatal en este caso no sólo no sería procedente sino que, además, entrañaría el riesgo de desnaturalizar las competencias de titularidad autonómica. A ello añade que los principios de legalidad y tipicidad rechazan esa pretendida aplicación supletoria de la normativa estatal, porque compromete la garantía material de lex certa que se integra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anteriormente sintetizados permiten concluir al Ministerio Fiscal que la sanción impuesta a la demandante de amparo vulneró el principio de legalidad y tipicidad reconocido en el art. 25.1 CE, pues la interpretación extensiva de la remisión que la ley territorial hace a la legislación básica iría en contra de las garantías que integran el derecho fundamental al principio de legalidad sancionadora. Así, a juicio del Fiscal, la demandante de amparo no pudo racionalmente prever su responsabilidad por infracción de lo previsto en el art. 40.2 d) de la Ley estatal 24/2003 de la viña y del vino y acomodar a dicha norma su conducta, habida cuenta de que en el territorio de la Comunidad Autónoma la norma aplicable en materia de vinos de calidad con denominación de origen era la Ley 8/2005, de 10 de junio, de la viña y del vino de Castilla y León, que en materia sancionadora hacía remisión específica exclusivamente a la “legislación básica de la Viña y del Vino”, por lo que una interpretación precisa y adecuada de este término sólo puede hacerse entendiendo que la remisión se hace a los preceptos básicos de la Ley 24/2003, entre los que no figura el ya mencionado art. 40.2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8 de enero de 2013 se presentó en el Registro General de este Tribunal el escrito de alegaciones del Letrado de la Comunidad Autónoma de Castilla y León, quien postula la desestimación del presente recurso de amparo al entender que las remisiones expresas a la legislación básica del Estado que contiene la Ley 8/2005, de 10 de junio, de la viña y del vino de Castilla y León, lo son en su conjunto a la Ley 24/2003, de 10 de julio, de la viña y del vino, que es la ley básica en materia vinícola, sin distinción entre los preceptos de carácter básico y los que no lo son, argumentando en este sentido que si el legislador autonómico no hubiese entendido que con la remisión al régimen sancionador de la ley básica estatal incorporaba el catálogo y relación de las infracciones administrativas contenidas en la misma, hubiera desarrollado por sí mismo la materia, procediendo a la tipificación de los ilícitos y estableciendo las medidas cautelares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argumenta que el hecho de que una disposición contenida en una norma estatal no tenga carácter básico, como sucede en el caso del art. 40.2 d) de la Ley 24/2003, no significa que no sea aplicable en la Comunidad Autónoma, pues tal aplicación, a su juicio, es posible, bien porque la Comunidad Autónoma la asuma expresamente, bien porque no la desplace o sustituya, en cuyo caso entraría en juego la cláusula supletoria del art. 149.3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Letrado de la Comunidad Autónoma llama la atención acerca del hecho de que la conducta de la demandante, a saber, la indebida tenencia, negociación o utilización de los documentos, etiquetas, contraetiquetas, precintas y otros elementos de identificación propios del vino de calidad producido en una región determinada, así como su falsificación, “siempre ha sido una infracción prevista en la normativa reguladora del sector vitícola”. Por ello, en su opinión, no cabe ninguna duda de que en el momento de producirse los hechos la entidad demandante, que elabora vinos desde 1988, era plenamente consciente de la gravedad de su conducta “por lo que la alegada vulneración de los principios de legalidad y tipicidad en el caso que nos ocupa, amén de no encontrar respaldo desde el punto de vista jurídico, no encuentra soporte desde el propio sentido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14 de enero de 2013 la representación procesal de Bodegas Antaño, S.A., presentó su escrito de alegaciones en este Tribunal, en las que viene a reproducir las formuladas en la demanda de amparo, significando el hecho de que este Tribunal ya ha dictado varias Sentencias en las que le ha concedido el amparo en supuestos idénticos al presente, concretamente en las SSTC 90/2012, 109/2012 y 127/2012.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mayo de 2013 se acordó señalar para deliberación y votación de la presente Sentencia ese mismo día.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con más detalle en los antecedentes, Bodegas Antaño, S.A., solicita amparo respecto de la Orden del Consejero de Agricultura y Ganadería de la Junta de Castilla y León de 19 de octubre de 2006, que le impone una sanción pecuniaria de trescientos mil euros por la comisión de una infracción tipificada en el art. 40.2 d) de la Ley 24/2003, de 10 de julio, de la viña y del vino, y de la Sentencia de la Sección Segunda de la Sala de lo Contencioso-Administrativo del Tribunal Superior de Justicia de Castilla y León, con sede en Valladolid, de 22 de marzo de 2011, que, con estimación parcial del recurso de apelación formulado por la sociedad mercantil recurrente, anula la resolución sancionadora únicamente en el apartado relativo a la cuantía de la multa impuesta, que se rebaja a sesenta mil euros, manteniendo el resto de los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demandante que ambas resoluciones habrían vulnerado su derecho fundamental a la legalidad sancionadora (art. 25.1 CE), al ser sancionada por la realización de una conducta —utilización indebida de contraetiquetas propias del vino de calidad producido en una región determinada— tipificada como infracción muy grave en el art. 40.2 d) de la Ley 24/2003, de 10 de julio, de la viña y del vino que, a su juicio, no es aplicable en la Comunidad Autónoma de Castilla y León, porque las Cortes de Castilla y León, en ejercicio de las competencias autonómicas en materia de agricultura y denominaciones de origen (art. 32.1.7 y 32 de la Ley Orgánica 4/1983, de 25 de febrero, de Estatuto de Autonomía de Castilla y León, en la redacción dada por la Ley Orgánica 4/1999, de 8 de enero), aprobaron la Ley 8/2005, de 10 de junio, de la viña y del vino de Castilla y León, norma legal que desplaza a la ley estatal en todo aquello que no tenga carácter básico, como sucede en el caso del art. 40.2 d), al que no se atribuye formalmente tal condición en el apartado segundo de la disposición final segunda de la Ley 24/2003, opinión que comparte el Ministerio Fiscal en los términos que han quedado relatados en los antecedentes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de la Junta de Castilla y León interesa la desestimación del presente recurso de amparo al entender, como se ha expuesto con más detenimiento en los antecedentes de esta Sentencia, que las remisiones expresas a la legislación básica del Estado que contiene la Ley 8/2005, de Castilla y León, lo son en su conjunto a la Ley estatal 24/2003, que es la ley básica en materia vinícola, sin distinción entre los preceptos de carácter básico y los que no lo son, argumentando que el hecho de que una disposición contenida en una norma estatal no tenga carácter básico, como sucede en el caso del art. 40.2 d) de la Ley 24/2003, no significa que no sea aplicable en la Comunidad Autónoma, pues tal aplicación, a su juicio, es posible, bien porque la Comunidad Autónoma la asuma expresamente, bien porque no la desplace o sustituya, en cuyo caso entraría en juego la cláusula supletoria del art. 149.3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ya en el fondo del asunto, es de señalar que la impugnación de la sanción objeto de litigio tiene su origen en la aplicación del art. 42 de la Ley 8/2005, de 10 de junio, de la viña y del vino de Castilla y León, cuyo texto es el siguiente: “Con carácter general, el régimen sancionador en las materias objeto de la presente Ley será lo establecido en la legislación básica de la Viña y del Vino, sin perjuicio de lo que se dispone en los artículos siguientes”, pues la sanción se impone por la infracción administrativa prevista en el art. 40.2 d) de la Ley 24/2003, de 10 de julio, de la viña y del vino, que no tiene carácter básico y, en consecuencia, la cuestión que se plantea es la de si este último precepto, en conexión con el que se ha transcrito, da cobertura legal suficiente a la sanción, habida cuenta de las exigencias del principio de legalidad en materia sancionadora que consagra 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esta misma cuestión ha sido ya resuelta en las SSTC 90/2012, de 7 de mayo, 109/2012, de 21 de mayo, y 127/2012, de 18 de junio, por lo que, al igual que se hace en las dos últimas Sentencias citadas, procede que nos remitamos ahora al contenido de la STC 90/2012, reiterando que, como expresamente se dejó dicho en la misma “convertir la expresión ‘legislación básica de la viña y del vino’ empleada por el art. 42 de la Ley 8/2005, de 10 de junio, de la viña y del vino de Castilla y León, en sinónimo de ‘legislación estatal’ en la materia, representa una interpretación extensiva de lo dispuesto por el legislador autonómico”, pues “la precisa remisión a las normas dictadas por el Estado en ejercicio de una concreta competencia, en este caso la relativa a las bases de ordenación general de la economía (art. 149.1.13 CE), que es la invocada en la disposición final primera de la Ley 24/2003, de la viña y del vino, se expande hasta comprender a la totalidad de normas dictadas por el Estado en la materia, con abstracción de que posean la condición formal de bases o carezcan de la misma” (FJ 5). Ello supone una interpretación del precepto legal autonómico que prescinde del sentido que en el orden constitucional y estatutario de distribución de competencias encierra lo básico y “que difícilmente puede considerarse acorde con las exigencias de predeterminación normativa de los ilícitos consustanciales al ya reseñado mandato de taxatividad” (mismo fundamento jurídico 5 ya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conduce al otorgamiento del amparo solicitado por Bodegas Antaño, S.A., pues la subsunción de su conducta en el ilícito administrativo tipificado por el art. 40.2 d) de la Ley 24/2003, de 10 de julio, de la viña y del vino, supuso una quiebra de la garantía material del derecho fundamental a la legalidad sancionadora proclamado por el art. 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Bodegas Antaño,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fundamental a la legalidad sancionadora (art. 25.1 CE) de la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Anular la Orden del Consejero de Agricultura y Ganadería de la Junta de Castilla y León de 19 de octubre de 2006, por la que se le impone a Bodegas Antaño, S.A., una sanción de trescientos mil euros como autora de una infracción del art. 40.2 d) de la Ley 24/2003, de 10 de julio, de la viña y del vino, así como la Sentencia de 22 de marzo de 2011 dictada por la Sección Segunda de la Sala de lo Contencioso-Administrativo del Tribunal Superior de Justicia de Castilla y León, en el procedimiento ordinario núm. 1861-2006.</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