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mayo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28 de enero de 2013, la Procuradora de los Tribunales doña María Jesús Rivero Ratón, en nombre y representación de doña Belén Palma Bohorquez, interpuso demanda de amparo contra Auto y Sentencia de la Sección Séptima de la Sala de lo Contencioso-Administrativo del Tribunal Supremo recaído en recurso de casación núm. 5500-2010, contra Sentencia dictada por la Sala de lo Contencioso-Administrativo de la Audiencia Nacional en recurso núm. 8-2009.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15 de abril de 2013, el Magistrado Excmo. Sr. don Juan José González Rivas manifestó su voluntad de abstenerse en el presente recurso de amparo y todas sus incidencias, por entender que concurría la causa establecida en el art. 219.11 de la Ley Orgánica del Poder Judicial, supletoria de la Ley Orgánica 2/1979 (art. 80), al haber intervenido en instancia anterior en su condición de Magistrado de la Sala de lo Contencioso-Administrativo del Tribunal Supremo que dictó las resoluciones recurridas.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500-2013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ocho de mayo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