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20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6076-2012, promovido por don José Luis Calvo Picallo y por la entidad Instalaciones Climatización de Galicia, S.L., representado por el Procurador de los Tribunales don Argimiro Vázquez Guillén y asistido por el Abogado don Manuel Arias Eibe, contra el Auto de 9 de octubre de 2012 del Juzgado de Primera Instancia núm. 5 de Ferrol.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29 de octubre de 2012, el Procurador de los Tribunales don Argimiro Vázquez Guillén, en nombre y representación de don José Luis Calvo Picallo y la entidad Instalaciones Climatización de Galicia, S.L.,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crediticia Banco Bilbao Vizcaya Argentaria, el Juzgado de Primera Instancia núm. 5 de Ferrol inició procedimiento de ejecución hipotecaria número 228-2011, en fecha 21 de noviembre de 2011, contra don José Luis Calvo Picallo y contra la entidad Instalaciones Climatización de Galicia, S.L., en relación con la finca registral hipotecada núm. 8178, inscrita en el Registro la Propiedad de Pontedeume.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demanda se acompañaba, entre otra documentación, la escritura de hipoteca sobre el bien propiedad del Sr. Calvo, sito en el término municipal de A Capela, al sitio de Mourente s/n. En tal escritura figuraba como domicilio a efectos de notificaciones el de entidad Instalaciones Climatización de Galicia, S.L., sito en Narón, polígono industrial As Lagoas, Rua Cento Vinte,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practicó el requerimiento de pago en el domicilio que constaba en la escritura de hipoteca y en el Registro de la Propiedad, haciéndose constar que en el lugar había unas naves abandonadas hace dos años y sin actividad según le manifestaron al funcionario judicial, lo cual fue consignado en las diligencias de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Trasladado el estado del procedimiento al ejecutante, por el mismo se interesó que las sucesivas notificaciones se practicaran por edictos, lo cual se acordó por el Juzgado, practicándose el requerimiento de pago mediante edictos en la forma prevista en el art. 164 de la Ley de enjuiciamiento civil, e igualmente se notificó por edictos la convocatoria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Habiendo tenido conocimiento del procedimiento los demandantes en fecha 10 de julio de 2012, según manifiestan, se personaron en autos y plantearon incidente de nulidad de actuaciones, que fue desestimado por el Auto impugnado de fecha 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fundamental a la tutela judicial efectiva sin indefensión (art. 24.1 CE) al no haber sido emplazados los demandantes ni requeridos de pago en su domicilio real, y que de la documentación aportada a la demanda de ejecución por la entidad acreedora se desprendía otro domicilio —el real en la localidad de A Capela—, sin que el órgano jurisdiccional realizara ninguna diligencia previa a la comunicación edictal para emplazar a los demandantes en su verdadero domicilio que constaba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solicitó que se dejara en suspenso la ejecución del Auto de 8 de octubre de 2012, con el objeto de poder garantizar la defensa de sus derechos fundamentales en el proceso civil, sin hacer perder la finalidad del recurso, ya que de lo contrario no se podría restituir la propiedad, de celebrarse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2013 la Sala Primera acordó conocer del presente recurso de amparo y admitir a trámite la demanda, y, a tenor de lo dispuesto en el art. 51 de la Ley Orgánica del Tribunal Constitucional (LOTC), requerir al Juzgado de Primera Instancia núm. 5 de Ferrol, para que en el plazo de diez días remitiera testimonio del juicio ejecutivo núm. 228-2011,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el Auto 56/2013, de 25 de febrero, la Sala Primera acordó suspender la ejecución del Auto de 9 de octubre de 2012, dictado por el Juzgado de Primera Instancia núm. 5 de Ferrol y el señalamiento de la subasta sobre la finca hipotecada en el procedimiento de ejecución hipotecaria núm. 228-2011.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22 de marzo de 2013 se tuvieron por recibidos los testimonios de las actuaciones remitidos por el Juzgado de Primera Instancia núm. 5 de Ferrol,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formuló sus alegaciones mediante escrito que tuvo su entrada en el Registro General de este Tribunal el día 25 de abril de 2013, en el que se afirma y ratifica en el escrito de la demanda, aduciendo que constaba su domicilio real en la documentación acompañada con la demanda y que la omisión de citación y emplazamiento de los demandantes resulta imputable directamente al órgano judicial, que por ello ha generado una clara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25 de abril de 2013,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que el órgano judicial ha de intentar por todos los medios a su alcance agotar las posibilidades de comunicación en cuantos domicilios le consten, ya se hallen éstos identificados en las actuaciones (STC 245/2006, de 24 de julio) o ya haya necesidad de recurrir a algún registro público como se dice en la STC 126/2006,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se agotaron los medios posibles de localización de los demandados, constando un domicilio alternativo de los demandantes en la póliza número 09-187260 cuyo impago fue origen de la ejecución hipotecaria, así como en el juicio de conciliación sin avenencia celebrado en el Juzgado de Primera Instancia núm. 2 de Ferrol, seguido con la misma entidad bancaria acreedora, donde compareció el demandado Sr. Calvo manifestando que su domicilio era el del municipio de A Capela, coincidente con el consignado en la póliza de crédito, sin que el Juzgado hiciera ningún tipo de notificación o requerimiento en tal lugar, pese a constar en los mismos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bien la modificación introducida por Ley 13/2009 en la Ley de enjuiciamiento civil, añadiendo un apartado 3 al art. 686 y modificando el art. 691, ofrecen la posibilidad de acudir a los edictos en caso de diligencia negativa de requerimiento en el domicilio que conste en el Registro, el Fiscal alega que debe interpretarse dicho precepto de acuerdo a la reiterada jurisprudencia del Tribunal Constitucional en materia de actos de comunicación, teniendo en cuenta, además, que nos hallamos en el derecho de acceso al proceso que deriva directamente de la Constitución y no de la Ley (art. 24.1 CE y STC 37/1995,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interesa que se dicte Sentencia otorgando el amparo con anulación del Auto impugnado y retroacción de actuaciones al momento anterior al requerimiento de pago a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mayo de 2013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9 de octubre de 2012, dictado por el Juzgado de Primera Instancia núm. 5 de Ferrol, que desestimó la petición de nulidad de actuaciones promovida por los demandantes de amparo en el procedimiento de ejecución hipotecaria núm. 228-2011.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no haber sido emplazados los demandantes ni requeridos de pago en su domicilio real, ante la diligencia negativa en el domicilio que constaba en el Registro de la Propiedad, y en este sentido de la documentación aportada a la demanda de ejecución por la entidad acreedora se desprendía otro domicilio —el real en la localidad de A Capela—, sin que se realizara ninguna diligencia previa a la comunicación edictal para emplazar a los demandantes en su verdadero domicilio que constaba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amparo plantea la cuestión relativa a la comunicación del procedimiento de ejecución hipotecaria en el caso de que sea negativa la notificación y el requerimiento de pago en el domicilio que consta en el Registro de la Propiedad y, más concretamente, a la necesidad de que el órgano jurisdiccional agote las posibilidades de averiguación del domicilio real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este Tribunal se ha pronunciado en reiteradas ocasiones, afirmando que es necesario que el órgano judicial agote los medios que tenga a su alcance para notificar al demandado la existencia del proceso en su domicilio real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relación al procedimiento de ejecución hipotecaria, la STC 245/2006, de 24 de julio (FJ 2), expresaba que “una vez que surjan dudas razonables de que el domicilio señalado en la escritura del préstamo hipotecario y que figura en el Registro sea el domicilio real del ejecutado, le es exigible (al órgano jurisdiccional)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Ley de enjuiciamiento civil (LEC) operada por la Ley 13/2009, de 3 de noviembre, añade un apartado 3 al art. 686 LEC, con el siguiente tenor: “Intentado sin efecto el requerimiento en el domicilio que resulte del Registro, no pudiendo ser realizado el mismo con las personas a las que se refiere el apartado anterior, se procederá a ordenar la publicación de edictos en la forma prevista en el art.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la especial trascendencia constitucional de este recurso, siendo necesario que este Tribunal se pronuncie sobre este nuevo marco normativo del procedimiento de ejecución hipotecaria, respecto del cual no hay doctrina del Tribunal Constitucional [apartado a) del fundamento jurídico 2 de la STC 155/2009, de 25 de junio], apareciendo asimismo que el tenor literal del precepto aplicado por el órgano jurisdiccional ( art. 686.3 LEC) presenta un riesgo de conflicto con el derecho a la tutela judicial efectiva del art. 24.1 CE, según la interpretación uniforme de este Tribunal en materia de actos de comunicación y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la hemos aplicado en el procedimiento de ejecución hipotecaria afirmando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objeto de este recurso de amparo, constaba en la documentación aportada por la entidad bancaria en la demanda de ejecución hipotecaria que el recurrente, don José Luis Calvo Picallo, tenía su domicilio en Mourente, 15163, A Capela (A Coruña), y así se reflejaba en el contrato de préstamo acompañado como documento núm. 4 de la demanda, el cual se indica por el demandante que es su domicilio real y que además es coincidente con el de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practicó el requerimiento de pago en fecha 23 de noviembre de 2011 en el domicilio registral de Narón, en cuya diligencia negativa consta “nave abandonada sin signos de actividad” y “se marchó sin dejar señas hace más de dos años”, ante lo cual, por diligencia de ordenación de fecha 7 de diciembre de 2011, se requirió a la ejecutante para que facilitara otro domicilio o instara medidas de averiguación en plazo de cinco días. La entidad ejecutante interesó la publicación de edictos al amparo de lo dispuesto en el art. 686.3 LEC, invocando su carácter de norma especial para los procedimientos hipotecarios, lo que se acordó por diligencia de ordenación de fecha 12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indudable que el órgano judicial no agotó las posibilidades de localización del deudor, lo cual entraría en contradicción con la doctrina constitucional expuesta en el anterior fundamento. Sobre esta doctrina no puede interferir la reforma operada por la Ley 13/2009, de 3 de noviembre, que añade un nuevo apartado 3 al art. 686 LEC, habida cuenta que todos los preceptos relativos a la notificación del despacho de la ejecución y del requerimiento de pago han de ser interpretados en coherencia con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trasladando esta doctrina al presente caso, cabe concluir que se ha vulnerado el derecho a la tutela judicial efectiva sin indefensión de los demandantes, al no haberse agotado los medios de averiguación del domicilio real antes de la comunicación por edictos, cuando además constaba identificado un domicilio del Sr. Calvo en los documentos aportados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de conformidad con lo dispuesto en el art. 55.1 de la Ley Orgánica del Tribunal Constitucional, conducen a otorgar el amparo, declarando la nulidad del Auto impugnado y retrotrayendo las actuaciones al momento anterior al requerimiento de pago a los demandados para que se les comunique el despacho de ejecución en legal forma.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Calvo Picallo y por Instalaciones Climatización de Galicia,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9 de octubre de 2012, dictado por el Juzgado de Primera Instancia núm. 5 de Ferrol, que desestimó la solicitud de nulidad de actuaciones promovida en el procedimiento de ejecución hipotecaria núm. 228-2011.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los demandados para que se les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