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3 de junio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2763-2011, promovido por don M.G., representado por la Procuradora de los Tribunales doña María del Carmen Ortíz Cornago y asistido por la Abogada doña Elena Zarraluqui Navarro, contra la Sentencia de la Audiencia Provincial de A Coruña (Sección Quinta) de 25 de enero de 2011, recaída en rollo de apelación núm. 235-2010, contra la Sentencia del Juzgado de Primera Instancia núm. 10 de A Coruña, de 11 de noviembre de 2009, en procedimiento sobre relaciones paternofiliales 75-2009. Han intervenido doña S.B.B., representada por la Procuradora de los Tribunales doña María Inmaculada Mozos Serna y asistida por el Letrado don Esteban Mestre Delgado, y el Ministerio Fiscal.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Decanato de los Juzgados de Madrid el 10 de mayo de 2011 y en el Registro General de este Tribunal el 12 de mayo de 2011, la Procuradora de los Tribunales doña María del Carmen Ortiz Cornago, en nombre y representación de don M.G.,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20 de enero de 2009 doña S.B.B. formuló demanda sobre guarda y custodia, derecho de visitas y alimentos de su hija menor, que se siguió como juicio verbal ante el Juzgado de Primera Instancia núm. 10 de A Coruña, procedimiento de relaciones paternofiliales 75-2009.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26 de febrero de 2009 el padre de la menor, el ahora recurrente en amparo, contestó a la demanda planteando la falta de competencia judicial internacional de los tribunales españoles. Además, el 30 de enero de 2009 había promovido ante la autoridad central belga el retorno inmediato de la menor a Bélgica, de conformidad con lo establecido en el Convenio de La Haya de 1980, de 25 de octubre de 1980, sobre aspectos civiles de la sustracción internacional de menores y el Reglamento (CE) núm. 2201/2003 del Consejo, de 27 de noviembre de 2003, relativo a la competencia, el reconocimiento y la ejecución de resoluciones judiciales en materia matrimonial y de responsabilidad parental. Este procedimiento se siguió en España ante el Juzgado de Primera Instancia núm. 10 de A Coruña, procedimiento 237-2009. Por Auto del Juzgado de 20 de abril de 2009 se desestimó la solicitud de restitución de la menor al concluir el órgano judicial que no era un supuesto de sustracción internacional en los términos del Convenio. Este Auto, que no fue recurrido, puso fin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conclusión del procedimiento 237-2009, el procedimiento 75-2009 siguió su curso y, por Auto de 27 de abril de 2009, el Juzgado de Primera Instancia núm. 10 de A Coruña se declaró competente con la siguiente motivación: “la parte plantea o arguye su posicionamiento de entender que han de ser competentes los tribunales de Bélgica, en que se ha producido un traslado ilegal de la misma [la menor] y a[l] respecto, reiteramos, este tribunal ya se ha pronunciado en sentido contrario y al socaire de dicho pronunciamiento hemos de entender que somos competentes conforme establece el art. 22.3 LOPJ” (fundamento jurídico único). Contra esta resolución el recurrente formuló incidente de nulidad de actuaciones, que fue desestimado por Auto de 16 de junio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requerimiento de la autoridad central belga el Juzgado de Primera Instancia núm. 10 de A Coruña comunicó la decisión española de no restitución de la menor al Tribunal de Primera Instancia de Bruselas. A este hecho siguieron varias actuaciones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17 de junio de 2009 el recurrente presentó escrito ante el Juzgado de Primera Instancia núm. 10 de A Coruña por el que solicitaba la suspensión del procedimiento 75-09. Argumentaba que se había trasladado la decisión de no retorno al Tribunal belga en aplicación del art. 11.6 del Reglamento 2201/2003 y que era el Tribunal belga el competente. La solicitud fue denegada por Auto del Juzgado de Primera Instancia núm. 10 de A Coruña, de 7 de julio de 2009. El Auto descartaba dicha interpretación del Reglamento, añadiendo “que ya por Auto de 27 de abril de 2009 se declaró la competencia de los tribunales españoles para conocer del procedimiento de guarda y custodia de la menor”. El recurrente interpuso recurso de reposición, que fue desestimado por Auto de 31 de julio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julio de 2009 el recurrente presentó nuevo escrito reiterando, en idénticos términos, la solicitud de suspensión. Fue desestimada por Auto de 23 de julio de 2009, que repite la fundamentación jurídica del Auto de 7 de julio de 2009, recordando, además, que dicho Auto ya había desestimado esa pretensión. El recurrente interpuso recurso de reposición, que fue desestimado por Auto de 2 de octubre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7 de agosto de 2009 el recurrente promovió demanda ante el Tribunal de Primera Instancia de Bruselas, sobre la base del art. 11.7 del Reglamento 2201/2003. El recurrente solicitaba, entre otras, el retorno inmediato de la menor, la atribución de la guarda y custodia al padre y la imposición de multas coercitivas a la madre en caso de incumplimiento. Por Sentencia de 20 de octubre de 2009 el Tribunal belga acordó dichas medidas. La madre de la menor interpuso recurso de apelación. Por su parte, el padre, con fecha 22 de octubre de 2009, presentó escrito ante el Juzgado de Primera Instancia núm. 10 de A Coruña aportando la Sentencia belga y solicitando la suspensión del procedimiento 75-2009. La solicitud de suspensión fue denegada por providencia de 6 de noviembre de 2009, “al no concurrir causa legal que la ampare, ya que por Auto de 20 de abril de 2009 se ha declarado que no ha habido traslado ilegal ni sustracción internacional de la menor, así como por auto de fecha 27 de abril de 2009 se ha declarado la competencia de este Juzgado para conocer de la demanda promovida por la representación procesal de doña [S.B.B.]”.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procedimiento 75-2009 desembocó en la Sentencia del Juzgado de Primera Instancia núm. 10 de A Coruña, de 11 de noviembre de 2009. El Juzgado, a la vista de las circunstancias, “estima más ajustado a los intereses de la menor que continúe bajo la guarda y custodia de la madre”, establece la patria potestad compartida, un régimen de visitas para el padre y una pensión de alimentos a favor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Juzgado de Primera Instancia núm. 10 de A Coruña, de 11 de noviembre de 2009, fue recurrida en apelación por ambas partes. La apelación se siguió ante la Audiencia Provincial de A Coruña (Sección Quinta), rollo 235-2010.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al recurso de apelación del ahora recurrente en amparo, se solicitaba, como pretensión principal, la declaración de falta de competencia judicial internacional de los tribunales españoles, con nulidad de todo lo actuado. Argumentaba ampliamente que el asunto traía causa en un supuesto de sustracción internacional de menor y que el tribunal competente era el belga y no el español. Con carácter subsidiario solicitaba la atribución de la guarda y custodia de la menor y, con carácter subsidiario, impugnaba el régimen de visitas establecido y el modo en que habrían de abonarse los gastos extraordinarios. En cuanto al régimen de visitas, el recurrente consideraba que se había impuesto uno restrictivo y pedía otro notablemente más amplio.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apelación de la madre, y en lo que interesa a este recurso de amparo, se solicitaba restringir el régimen de visitas, en esencia, en lo atinente a las salidas de la menor del territorio español, por el peligro de que fuera objeto de traslado o retención ilícita por el padre que, se señalaba, no se consideraba vinculado por las resoluciones judiciales españolas y contaba con resoluciones belgas a su favor; todo ello, sin perjuicio de modificar las medidas si las resoluciones judiciales belgas y españolas llegasen a ser conciliables.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Ante los tribunales belgas, el recurso de apelación interpuesto por la madre contra la Sentencia del Tribunal de Primera Instancia de Bruselas, de 20 de octubre de 2009, fue resuelto por la Sentencia del Tribunal de Apelación de Bruselas, Sala Tercera, de 17 de junio de 2010. En lo que interesa a este recurso de amparo, esta Sentencia confirma la decisión del primer juez de declararse competente para conocer del asunto, de conformidad con el art. 11 del Reglamento 2201/2003, pero desestima las pretensiones del recurrente en amparo, relativas a la guarda y custodia de L. y la vuelta de ésta a Bélgica. En este sentido, el Tribunal de apelación parte de que el criterio determinante para pronunciarse sobre la guarda y custodia es el interés de la menor, prescindiendo, dice expresamente, de consideraciones sobre el conflicto entre los padres y los divergentes puntos de vista de los órganos belgas y españoles sobre el retorno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toma en consideración que la madre se ha vuelto a casar y tiene otro hijo, familia en la que vive la menor; que en estas circunstancias es ilusorio esperar que la madre se traslade a Bruselas. Pondera entonces la posibilidad de que la menor se trasladara sola a Bruselas, lo que descarta pues “no parece corresponder al interés de la niña”, que tiene 3 años y perdería la presencia de la madre, “el principal progenitor de referencia”, con la que siempre ha vivido, sin que el padre haya vivido nunca permanentemente con ella. Por el contrario, en España vive en una familia, con un hermano, lo que parece más propicio para su desarrollo social que una familia monoparental; en suma: “separar a [L.] del entorno maternal en el que vive ahora desde hace un año y medio, para encontrarse confiada, en otro país, a un padre con quien no vivió nunca, sin posibilidad de ver a su madre en otros momentos que durante los fines de semana y las vacaciones, implica un riesgo serio de grave traumatismo de la niña”.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Apelación belga también valora que, aunque sostiene que el desplazamiento de la menor fue ilícito, “no se puede sin embargo sancionar el comportamiento reprehensible de la Sra. [B.B.] en detrimento del interés de la niña” y descarta que sólo si la niña vive con el padre se puedan asegurar los derechos del otro progenitor: “Se puede suponer que la actitud poco constructiva de la Sra. [B.B.] se puede vincular con la escalada del conflicto entre las partes y con la multiplicación de los procedimientos judiciales tanto en España como en Bélgica, y que fue dictada en gran parte por su temor a ver al Sr. [G.] llevarse a la niña con él a Bélgica, a falta de marco donde ejercer el derecho de visita. Se puede razonablemente esperar que la atribución por la presente decisión de la guarda y custodia de la pequeña [L.] a la Sra. [B.B.] permitirá aliviar el conflicto, y que la Sra. [B.B.] —o en su defecto, los órganos judiciales españoles, en adelante competentes— tendrán a bien restaurar vínculos normales entre L. y su padre y de asignar a este último un derecho de visita respetuoso con su lugar y su papel de padre”. Concluye la Sentencia: “Por lo demás, el tribunal considera que actualmente los órganos jurisdiccionales españoles son los más indicados para pronunciarse sobre el derecho de visita del Sr. [G.], en aplicación del art. 15 del Reglamento Bruselas II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aportó la Sentencia del Tribunal de Apelación de Bruselas, Sala Tercera, de 17 de junio de 2010, al rollo de apelación 235-2010 por escrito de 22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apelación interpuesta contra la Sentencia del Juzgado de Primera Instancia núm. 10 de A Coruña, de 11 de noviembre de 2009, fue resuelta por la Sentencia de la Audiencia Provincial de A Coruña (Sección Quinta) de 25 de enero de 2011. La Sentencia de la Audiencia Provincial confirma la competencia judicial internacional de los tribunales españoles (fundamento jurídico 2), confirma la atribución de la guarda y custodia de la menor a la madre (fundamento jurídico 3) y modifica el régimen de visitas establecido por la Sentencia del Juzgado de Primera Instancia, acogiendo íntegramente la pretensión del recurrente, (fundamento jurídico 4), incluso en lo relativo a la forma de abono de los gastos extraordinarios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competencia judicial internacional, cuestión resuelta en el fundamento jurídico 2, la Sentencia se sostiene en los siguientes argumentos. En primer lugar, “aun cuando sea dudoso si era a los tribunales belgas o a los tribunales españoles a los que le correspondía la competencia para resolver el presente procedimiento de relaciones paterno filiales —para lo cual es suficiente con leer los distintos escritos presentados por la parte demandante y demandada y por el Ministerio Fiscal, así como las diferentes resoluciones dictadas por el Juzgado de Primera Instancia nº 10 y por el tribunal belga— y aun cuando los tribunales belgas, y más en concreto, la Sentencia del Tribunal de Apelación de Bruselas, Sala Tercera, de fecha 17 de junio de 2010, consideren que la competencia para conocer del presente litigio… les corresponde a los tribunales de ese país, no es menos cierto que, a pesar de ello, ni siquiera el Tribunal de Apelación de Bruselas considera que la Sentencia del Juzgado de Primera Instancia nº 10, objeto del presente recurso, sea nula… Es decir la Sentencia del Tribunal de Apelación de Bruselas de 17 de junio de 2010 reconoce que el presente procedimiento continúa en trámite, no cuestionando su validez”. En segundo lugar, la Sentencia belga no establece un régimen de visitas para el padre y, como ella misma constata, la Sentencia española de Primera Instancia sí, a lo que añade: “Por lo demás, el tribunal [belga] considera que actualmente los órganos jurisdiccionales españoles son los más indicados para pronunciarse sobre el derecho de visita del Sr. [G.], en aplicación del art. 15 del Reglamento”. Por lo tanto, dice la Audiencia Provincial, “al no pronunciarse los tribunales belgas sobre el derecho de visita del Sr. [G.] con su hija [L.], de aceptarse la pretensión de declarar la nulidad de la Sentencia de instancia, nos encontraríamos con que ningún tribunal, ni español, ni belga, regularía dicho régimen de visitas con lo que se conculcarían al mismo tiempo tanto el derecho del padre a mantener relaciones con su hija menor, como los de ésta a crecer conociendo y conviviendo con su padre, a pesar de los problemas que se plantean con la distancia geográfica en que se encuentran el uno del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jurídico 2 concluye así: “Dada la situación actual del conflicto —tener que decidir los tribunales españoles sobre el régimen de visitas que le corresponde al  [G.] con su hija menor— que hace innecesario que tengamos que pronunciarnos sobre la competencia ab initio de los tribunales de uno u otro país, entendemos que este tribunal —además de pronunciarse sobre el régimen de visitas, pensión alimenticia, etc.— debe también decidir, con anterioridad, sobre la guarda y custodia de la hija menor [L.].”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atribución de guarda y custodia de la menor, el fundamento jurídico, 3 reproduce literal e íntegramente (a salvo una frase en un evidente error material de trascripción) la fundamentación jurídica de la Sentencia del Tribunal de Apelación de Bruselas de 17 de junio de 2010 (que se ha resumido en el apartado e) de estos Antecedentes), a lo que añade únicamente lo siguiente: “Teniendo en cuenta todas las circunstancias que se relatan en la resolución del Tribunal belga, así como las razones expuestas por la sentencia de instancia, que la menor [L.] está próximo [sic] a cumplir 4 años y que desde su nacimiento ha vivido en compañía de su madre, no se le presenta ninguna duda a este tribunal de que la guarda y custodia de la menor debe ser atribuida a su madre doña [S.B.B.].”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derecho de visitas, el fundamento jurídico 4 de la Sentencia, con invocación del interés superior del menor, acoge la pretensión del padre de ampliación del régimen de visitas, en los términos por él propuestos. La Audiencia afirma que no está justificado el limitado derecho de visitas del padre, destaca el papel de la figura paterna, máxime cuando la madre se ha casado, tiene otro hijo y la menor se integra en dicha familia, y toma en consideración que la imposibilidad de que el padre vea más a la menor deriva de la decisión de la madre de trasladar su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Amén de en los referidos, los progenitores de la menor se han enfrentado en un piélago de procedimientos cruzados, entre otros, los que se refieren a continuación. El 6 de febrero de 2009 el recurrente promovió procedimiento de urgencia ante el Tribunal de Primera Instancia de Bruselas para la adopción de medidas provisionales, que fueron efectivamente adoptadas por Sentencia de 2 de junio de 2009, que fue objeto de recurso de apelación, resuelto por Sentencia de 14 de enero de 2010. Igualmente promovió ante los tribunales belgas procedimiento de embargo de bienes contra la madre, en aseguramiento del pago de las multas coercitivas. Además, las autoridades belgas expidieron orden europea de detención y entrega contra la madre, para el enjuiciamiento de un presunto delito de sustracción de menor, que fue denegada por Auto de la Sección Segunda de la Sala de lo Penal de la Audiencia Nacional, de 26 de febrero de 2010. Por su parte, la madre ha denunciado al padre ante la policía en varias ocasiones. En cuanto a la eficacia extraterritorial de las resoluciones judiciales que se pronunciaron sobre el régimen de relaciones paternofiliales, el recurrente promovió denegación de la eficacia en Bélgica de la Sentencia del Juzgado de Primera Instancia núm. 10 de A Coruña, de 11 de noviembre de 2009, pretensión que fue estimada por resolución belga de 12 de enero de 2010; asimismo solicitó la ejecución en España de la Sentencia de 20 de octubre de 2009, que fue desestimada por Sentencia del Juzgado de Primera Instancia núm. 10 de A Coruña de 23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la vulneración del derecho fundamental a la tutela judicial efectiva (art. 24.1 CE) en la vertiente de derecho fundamental a una resolución judicial motivada y fundada en Derecho, con invocación del art. 120.3 CE y doctrina constitucional sobre motivación y fundamentación en Derecho. También denuncia vulneración del “derecho a la protección social, económica y jurídica de la familia” (art. 39.1 CE), “derecho a la protección integral de los hijos” (art. 39.2 CE), “derecho de los niños a gozar de la protección prevista en los acuerdos internacionales que velan por sus derechos” (art. 39.4 CE), en conexión con el art. 10.2 CE. Alega que los órganos judiciales han inaplicado indebidamente el Reglamento 2201/2003 y que los tribunales españoles no eran competentes para conocer de la demanda de relaciones paternofiliales pues, sostiene, en el caso media la sustracción internacional de la menor y, en dicha circunstancia, conforme al Reglamento son competentes los tribunales belgas. A su juicio, los órganos judiciales han resuelto con una selección de la norma aplicable arbitraria, manifiestamente irrazonable y fruto de error patente que demanda la intervención de este Tribunal. En concreto, respecto a la Sentencia de la Audiencia Provincial, califica de “fundamentación incongruente, errónea, arbitraria e irrazonable”, la que le lleva a conocer del procedimiento con el argumento de que el Tribunal belga no se ha pronunciado sobre el derecho de visitas, “a pesar de reconocer que los tribunales españoles no tenían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solicita que este Tribunal plantee cuestión prejudicial al Tribunal de Justicia de la Unión Europea en interpretación del Reglamento 2201/2003, en los siguientes términos: “En el momento en que los tribunales españoles entraron a conocer sobre el fondo del asunto —regulación de la relación paternofilial entre el señor [G.] y su hija— carecían de competencia internacional para ello. ¿Esa falta de jurisdicción y competencia se mantiene durante la tramitación de todo el procedimiento? Es decir, ¿la falta de jurisdicción y competencia sigue existiendo en el momento en que la Audiencia Provincial de A Coruña dictó la Sentencia de 25 de enero de 2011? O por el contrario, ¿el transcurso del tiempo hace que los tribunales españoles sean internacionalmente competentes y la falta de jurisdicción y competencia que existía inicialmente desaparece?”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incluye un apartado en el que, bajo la rúbrica “relevancia constitucional” y con invocación del art. 50.1 b) de la Ley Orgánica del Tribunal Constitucional (LOTC), que se reproduce, se reitera la vulneración de derechos fundamentales denunciada. Dado que dicha vulneración tendría su origen en “la violación palmaria de los Tratados internacionales y Convenios suscritos por España, superiores a la ley interna, como lo es el Reglamento 2201/2003”, sostiene el recurrente, se “plantea una cuestión jurídica de relevante y general repercusión social, además de unas consecuencias políticas generales”. También manifiesta, con invocación del ATC 188/2008, de 21 de julio, y la STC 155/2009, de 25 de junio, que el requisito establecido en el art. 49.1 en relación con el art. 50.1 b) LOTC “no puede servir para mermar la protección de los derechos fundamentales tanto en sede de tribunales ordinarios como ante la propia jurisdicción constitucional, alterando la naturaleza del recurso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julio de 2012, la Sala Segunda acordó admitir a trámite la demanda y, a tenor de lo dispuesto en el art. 51 LOTC, requerir a la Sección Quinta de la Audiencia Provincial de A Coruña para que en el plazo de diez días remitiera testimonio de las actuaciones correspondientes al rollo de apelación núm. 235-2010, así como requerir al Juzgado de Primera Instancia núm. 10 de A Coruña, para que en el plazo de diez días remitiera testimonio de las actuaciones correspondientes al procedimiento sobre medidas paternofiliales núm. 75-2009,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12 de septiembre de 2012 la Procuradora de los Tribunales doña María Inmaculada Mozos Serna, actuando en nombre y representación de doña S.B.B., solicitó se le tuviera por personada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14 de septiembre de 2012, la Sala Segunda de este Tribunal tuvo por personada y parte en el procedimiento a la procuradora doña María Inmaculada Mozos Serna en nombre y representación de doña S.B.B. y dio vista de las actuaciones recibidas a las partes personadas y al Ministerio Fiscal por plazo común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formuló sus alegaciones mediante escrito que tuvo su entrada en el Registro de este Tribunal el día10 de octubre de 2012, en el que se ratifica íntegramente en la demanda de amparo y reitera los argumentos allí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el Registro General de este Tribunal el día 18 de octubre de 2012 presentó alegaciones la procuradora doña María Inmaculada Mozos Serna, en nombre y representación de doña S.B.B., interesando se declare inadmisible el recurso o, subsidiariamente, se deniegue el amparo, y se acuerde no acceder a plantear cuestión prejudicial al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contraparte sostiene que el recurso de amparo debe ser inadmitido. Alega que el recurso está incurso en la causa de inadmisión del art. 50.1 a), en relación con el art. 44.1 a) y c) LOTC por falta de agotamiento de la vía judicial previa y falta de invocación pues las vulneraciones de derechos denunciadas se circunscriben a la motivación de la Sentencia de la Audiencia Provincial, por lo que el recurrente no pudo acudir a este Tribunal directamente, sin antes plantear incidente de nulidad de actuaciones, preceptivo en el caso, según los términos del art. 241.1 de la Ley Orgánica del Poder Judicial. Igualmente, la contraparte defiende que ni el recurrente ha justificado la especial trascendencia constitucional, ni dicha especial trascendencia concurre en la demanda. Argumenta que el recurso incluye un apartado sobre “relevancia constitucional”, con cita de los arts. 49.1 y 50.1 b) LOTC, pero sin referencia concreta al caso de autos, con la única alusión a que “plantea una cuestión jurídica relevante y de gran repercusión social, además de unas consecuencias políticas generales”, cuando, a su juicio, la admisión a trámite de los recursos de amparo no se puede condicionar en función de las repercusiones sociales o políticas que puedan existir. Asimismo, el recurso de amparo se constriñe a una queja por motivación, sobre lo que existe abundante doctrina constitucional, por lo que no plantea ninguna cuestión nueva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no se aprecien las causas de inadmisión precitadas, la contraparte interesa que se deniegue el amparo solicitado, lo cual sustenta en tres líneas argumentales.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defiende que no se ha producido vulneración del derecho fundamental pues la Sentencia de la Audiencia Provincial está motivada y fundada en Derecho: pondera las resoluciones de los tribunales belgas, la prueba practicada en el procedimiento y las relaciones entre las partes. Y no es cierto lo que afirma el recurrente, esto es, que el Tribunal español no declarase la nulidad y entrara al fondo pese a reconocer que no tenía competencia. Al contrario, el Tribunal español afirma su competencia y lo fundamenta en diversos argumentos: el pronunciamiento del Tribunal de Apelación de Bruselas, la situación que derivaría de la nulidad, pues no habría tribunal competente para establecer un régimen de visitas, el interés del menor y la comprensión por el tribunal de la complejidad del caso, que se manifiesta en la no imposición de costas. Además, la competencia judicial internacional del Tribunal español era una cuestión ya resuelta por una resolución judicial firme (el Auto del Juzgado de Primera Instancia núm. 10 de A Coruña, de 27 de abril de 2009). Por último, destaca que hay otras resoluciones judiciales españolas, ajenas a este procedimiento, que se han pronunciado sobre la competencia: el Auto por el que se denegó el reconocimiento y ejecución en España de la Sentencia del Juzgado de Primera Instancia de Bruselas, de 11 de noviembre de 2009 (Auto del Juzgado de Primera Instancia núm. 10 de A Coruña, de 23 de diciembre de 2009, autos 1177-2009), y el Auto por el que se denegó la orden europea de detención y entrega dictada por los tribunales belgas dirigida contra la madre (Auto de la Sección Segunda de la Sala de lo Penal de la Audiencia Nacional, de 26 de febrero de 2010, rollo 350-2009).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interesa la denegación del amparo solicitado porque el recurrente denuncia la vulneración de los derechos protegidos en el art. 39.1, 2 y 4 CE, cuando dichos derechos no son susceptibles de amparo, de conformidad con el art. 41 LOTC. En cuanto a la denuncia relativa a la vulneración del derecho fundamental a la tutela judicial efectiva, se hace sin más precisión en cuanto al derecho fundamental supuestamente vulnerado, sin cita de doctrina constitucional, sin sustento alegatorio en términos constitucionales, de suerte que el recurso se reduce simplemente a una interpretación alternativa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tercera línea argumental la contraparte sustenta la denegación del amparo porque no hay en la Sentencia de la Audiencia Provincial ni error patente de relevancia constitucional ni una interpretación arbitraria o irrazonable de la legalidad ordinaria. En este punto se afirma que la cuestión, no sólo permanece en el plano de la legalidad ordinaria, sino que, a mayor abundamiento, en términos de pura legalidad ordinaria, la resolución judicial es correcta: el traslado de la menor a España fue lícito, luego la norma de competencia judicial internacional aplicable era la establecida en el art. 8 del Reglamento 2201/2003, de la que se colige la competencia judicial internacional del Tribunal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al planteamiento de la cuestión prejudicial se argumenta su improcedencia. Según la contraparte, la cuestión tiene su origen en una premisa errónea ya que, insiste, los Tribunales españoles siempre fueron competentes. Además, la interpretación y validez del Reglamento no ha sido cuestionada. Lo que el recurso de amparo plantea es si la Sentencia está fundamentada o no, y si ha aplicado de forma arbitraria o irrazonable la ley, no la interpretación de ningún precepto concreto, y, si se quiso plantear, debió proponerse ante la Audiencia Provincial. Al fin, es innecesaria toda vez que, según la contraparte, este Tribunal ya se ha pronunciado en casos muy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23 de octubre de 2012 presentó sus alegaciones el Ministerio Fiscal interesando la desestimación del recurso de amparo y mostrando su disconformidad con el planteamiento de cuestión prejudicial, por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la fundamentación de la Sentencia no es constitucionalmente censurable pues contiene una motivación que no es arbitraria ni irrazonable. En este sentido, valora que la solución adoptada por la Audiencia Provincial, a la que el recurrente tilda de arbitraria, “es igual” a la adoptada por el Tribunal de Apelación belga, y que el Tribunal belga, aun considerándose inicialmente competente, estima más conveniente que actúe el juez español, de conformidad con el art. 15 del Reglamento 2201/2003. El Ministerio Fiscal también subraya la toma en consideración del paso del tiempo, que no es un argumento baladí, y el protagonismo en la motivación del interés del menor, que “debe ser considerado en línea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planteamiento de cuestión prejudicial, el Ministerio Fiscal sostiene su improcedencia porque no se propone como referida a un concreto precepto, lo que raya en el debate doctrinal, incompatible con la naturaleza de la cuestión prejudicial. Además, la cuestión prejudicial ha de ser necesaria para el fallo y, dado que se propone al Tribunal Constitucional, ha de suponer la confrontación entre un artículo de la Constitución y una norma de Derecho comunitario, de suerte que, como ocurre en el caso de autos, “cualquier otro planteamiento para resolver dudas legales tendría un carácter infraconstitucional y debería haberse planteado en la vía jurisdiccional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mayo de 2013 se señaló para deliberación y votación de la presente Sentencia el día 3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Audiencia Provincial de A Coruña (Sección Quinta) de 25 de enero de 2011, recaída en rollo de apelación núm. 235-2010, contra la Sentencia del Juzgado de Primera Instancia núm. 10 de A Coruña, de 11 de noviembre de 2009, en procedimiento sobre relaciones paternofiliales 75-2009. Se funda la demanda en la vulneración del derecho fundamental a la tutela judicial efectiva (art. 24.1 CE) en la vertiente de derecho fundamental a una resolución judicial motivada y fundada en Derecho, del derecho a la protección social económica y jurídica de la familia (art. 39.1 CE), del derecho a la protección integral de los hijos (art. 39.2 CE) y del derecho de los niños a gozar de la protección prevista en los acuerdos internacionales que velan por sus derechos (art. 39.4 CE). La contraparte solicita la inadmisión y, subsidiariamente, la desestimación del recurso de amparo y considera improcedente el planteamiento de la cuestión prejudicial propuesta. El Ministerio Fiscal solicita la desestimación del recurso de amparo y considera improcedente el planteamiento de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la STC 57/2013, de 11 de marzo, la circunstancia de que esté involucrado un menor de edad en el presente recurso de amparo, explica que, de conformidad con el art. 8 de las Reglas mínimas de las Naciones Unidas para la administración de justicia de menores, conocidas como Reglas de Beijing, e incluidas en la resolución de la Asamblea General 40/33, de 29 de noviembre de 1985, no se incluyan en esta resolución el nombre y los apellidos completos del menor de edad ni de sus padres.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queja formulada en la demanda de amparo debemos pronunciarnos sobre los óbices de admisibilidad aducidos por la contraparte. Según sostiene, el recurso de amparo debería inadmitirse porque, de un lado, el recurrente no justifica en su demanda la especial trascendencia constitucional, ni dicha especial trascendencia constitucional concurre y, de otro, por falta de agotamiento de la vía judicial previa y falta de invocación previa del derecho fundamental vulnerado tan pronto como, una vez conocida la violación, hubiere lugar para ello. Como ha quedado expuesto, el Ministerio Fiscal no advierte carencia de estos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justificación de la especial trascendencia constitucional ha de recordarse que conforme a lo dispuesto en el art. 50.1 a) de la Ley Orgánica del Tribunal Constitucional (LOTC), el recurso de amparo no puede ser admitido a trámite si el recurrente no cumple —además de los restantes requisitos procesales previstos en los arts. 42 a 44 LOTC— la ineludible exigencia impuesta por el art. 49.1 in fine LOTC de justificar en la demanda de amparo la especial trascendencia constitucional del recurso (por todas, SSTC 155/2009, de 25 de junio, FJ 2; y 69/2011, de 16 de mayo, FJ 2; AATC 188/2008, de 21 de julio, FJ 1; 289/2008 y 290/2008, ambos de 22 de septiembre,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—como destacábamos en la STC 69/2011, de 16 de mayo, FJ 3— ha ido realizando numerosas precisiones en cuanto al modo de dar cumplimiento a esta exigencia, destacando fundamentalmente que es algo distinto de razonar sobre la existencia de la vulneración de un derecho fundamental, de modo que en la demanda ha de disociarse adecuadamente la argumentación tendente a justificar la existencia de lesión de un derecho fundamental de aquella dirigida a justificar la especial trascendencia constitucional, exigiendo al recurrente un “esfuerzo argumental” que ponga en conexión las vulneraciones constitucionales que alega con los criterios establecidos en el art. 50.1 b) LOTC, precepto este último, según el cual, la especial trascendencia del recurso se apreciará atendiendo a “su importancia para la interpretación de la Constitución, para su aplicación o para su general eficacia, y para la determinación del contenido y alcance de los derechos fundamentales”. A lo que ha de añadirse que en la STC 155/2009, de 25 de junio, FJ 2, el Tribunal ha identificado, sin ánimo exhaustivo, determinados supuestos en los que concurriría esa especial trascendencia constitucional, avanzando en la interpretación del art. 50.1 b) LOTC y facilitando a los recurrentes el cumplimiento de la carga justificativa que impone el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el recurso de amparo disocia adecuadamente la argumentación tendente a justificar la existencia de la lesión de la dirigida a justificar la especial trascendencia: dedica un apartado específico a la especial trascendencia constitucional (páginas 22 y 23 de la demanda de amparo) en el que, no sólo se reiteran argumentos utilizados en sustento de la lesión sino que también se incorporan otros, referidos a la especial trascendencia como requisito distinto de aquella. Igualmente se constata en el recurso de amparo un esfuerzo argumental para conectar las vulneraciones denunciadas y los criterios establecidos en el art. 50.1 b) LOTC y en la STC 155/2009, de 25 de junio, FJ 2 (STC 170/2011, de 3 de noviembre, FJ 3); conexión tanto material como formal, pues el recurrente invoca expresamente el apartado g) “cuando el asunto suscitado, sin estar incluido en ninguno de los supuestos anteriores, trascienda del caso concreto porque plantee una cuestión jurídica de relevante y general repercusión social o económica o tenga unas consecuencias políticas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cual, en relación con la especial trascendencia constitucional ha de recordarse que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(por todas, STC 95/2010, de 15 de noviembre, FJ 4). El carácter notablemente abierto e indeterminado, tanto de la noción de “especial trascendencia constitucional”, como de los criterios legalmente establecidos para su apreciación, confieren a este Tribunal un amplio margen decisorio para estimar cuándo el contenido de un recurso de amparo justifica una decisión sobre el fondo en razón de su especial trascendencia constitucional. Como es obvio, la decisión liminar de admisión a trámite del recurso al apreciar el cumplimiento del citado requisito no limita las facultades del Tribunal sobre la decisión final de estimación o desestimación del asunto (STC 155/2009, de 25 de junio, FJ 2). Pues bien, en la fase de admisión del presente recurso de amparo este Tribunal concluyó que concurría la especial trascendencia constitucional exigida para su admisión a trámite, sin que encontremos razones para modificar esa inicial apreciación en el momento procesal en que ahora nos hallamos, habida cuenta del perfil específico que presenta el caso de autos, resultante de su complejidad y los intereses en presencia, y la singularidad del criterio de competencia judicial internacional exteriorizado.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contraparte alega también que el recurso de amparo incurre en falta de agotamiento de la vía judicial previa y falta de invocación previa del derecho fundamental vulnerado tan pronto como, una vez conocida la violación, hubiere lugar para ello (art. 50.1 a) en relación con el art. 44.1 a) y c) LOTC. Su argumentación parte de la premisa de que las vulneraciones de derechos denunciadas se circunscriben a la Sentencia de la Audiencia Provincial, por lo que el recurrente no pudo acudir a este Tribunal directamente, sin antes plantear incidente de nulidad de actuaciones, preceptivo, de conformidad con el art. 241.1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premisa de la que parte esta alegación no es exacta. Como ha quedado expuesto en los antecedentes, los términos en los que el recurrente delimita su queja son confusos ya que, si bien se refiere ocasionalmente a la motivación concreta de la Sentencia de apelación, su discurso principal, que desarrolla de forma prolija y reiterada, y que es el que sostiene su pretensión de amparo, es el atinente a dos cuestiones: la inaplicación del Reglamento (CE) núm. 2201/2003 del Consejo, de 27 de noviembre de 2003, relativo a la competencia, el reconocimiento y la ejecución de resoluciones judiciales en materia matrimonial y de responsabilidad parental, y la competencia judicial internacional de los Tribunales españoles. Por tanto, habida cuenta de que el recurrente ha planteado su denuncia en estos términos, y con independencia del juicio que merezca la corrección técnica y la viabilidad de dicho planteamiento, el incidente puede no reputarse imprescindible para el agotamiento de la vía judicial cuando la lesión, así enunciada, en puridad, tendría su origen en la instancia y, denunciada, no habría sido enmendada en la apelación. Con la misma lógica, dado que ambas cuestiones están presentes en el escrito de apelación, se puede tener por cumplido el requisito ex art. 44.1 c) LOTC en una interpretación flexible y finalista de dicho precepto, pues el cumplimiento de este requisito no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y, en su caso, de reparar la lesión del derecho fundamental que posteriormente se alega en el recurso de amparo (por todas, SSTC 133/2002, de 3 de junio, FJ 3; 228/2002, de 9 de diciembre, FJ 2; y 133/2010, de 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descartados los óbices de admisibilidad planteados es preciso depurar el objeto de la demanda de amparo. Aunque el recurrente refiere la vulneración de los derechos recogidos en el art. 39.1, 2 y 4 CE, esta queja ha de rechazarse a radice por cuanto, de conformidad con los arts. 53.2 CE y 41.1 LOTC, los derechos y libertades susceptibles de amparo son los reconocidos en los arts. 14 a 29 CE y la objeción de conciencia reconocida en el art. 30 CE. Por tanto, el objeto de esta demanda se concreta en determinar si el recurrente ha visto vulnerado su derecho fundamental a la tutela judicial efectiva sin indefensión (art. 24.1 CE) en la vertiente de derecho a una resolución judicial motivada y fundada en Derecho, en cuanto a la declaración de competencia judicial internacional de los tribunales españoles. Se ha señalado anteriormente que el recurrente delimita su queja de forma que el conjunto de su argumentación combate tanto la motivación de la Audiencia como la del Juzgado. Pues bien, aunque la Sentencia de la Audiencia confirma la competencia de los tribunales españoles con una motivación sustancialmente distinta y sin tachar la del Juzgado, habida cuenta de que resuelve de forma definitiva sobre la cuestión, el análisis de este Tribunal ha de constreñirse a la motivación y fundamentación en Derecho de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la STC 64/2010 de 18 de octubre, FJ 3, el derecho fundamental a la tutela judicial efectiva (art. 24.1 CE) no incluye un pretendido derecho al acierto judicial en la selección, interpretación y aplicación de las disposiciones legales, pero sí comprende, entre otras dimensiones, el derecho a obtener una resolución judicial motivada que, a su vez, según la doctrina constitucional, presenta varias manifestaciones. Supone, en primer lugar, que la resolución ha de estar suficientemente motivada, es decir, contener los elementos y razones de juicio que permitan conocer cuáles han sido los criterios jurídicos que fundamentan la decisión; y en segundo lugar, que la motivación debe contener una fundamentación en Derecho, lo que conlleva la garantía de que la decisión no sea consecuencia de una aplicación arbitraria de la legalidad, ni resulte manifiestamente irrazonable, incursa en un error patente o en una evidente contradicción entre los fundamentos jurídicos, o entre éstos y el fallo, ya que, en tal caso, la aplicación de la legalidad sería tan sólo una mera apariencia (SSTC 147/1999, de 4 de agosto, FJ 3; 25/2000, de 31 de enero, FJ 2; 87/2000, de 27 de marzo, FJ 3; 82/2001, de 26 de marzo, FJ 2; 221/2001, de 31 de octubre, FJ 6; 55/2003, de 24 de marzo, FJ 6; 223/2005, de 12 de septiembre, FJ 3; y 276/2006, de 25 de septiembre,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precisó en la STC 214/1999, de 29 de noviembre, que “cuando lo que se debate es, como sucede en este caso, la selección, interpretación y aplicación de un precepto legal que no afecta a los contenidos típicos del art. 24.1 CE o a otros derechos fundamentales,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y, más adelante, afirmó que “es cierto que, en puridad lógica, no es lo mismo ausencia de motivación y razonamiento que motivación y razonamiento que por su grado de arbitrariedad o irrazonabilidad debe tenerse por inexistente; pero también es cierto que este Tribunal incurriría en exceso de formalismo si admitiese como decisiones motivadas y razonadas aquellas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(FJ 4), criterios éstos que hemos reiterado posteriormente (por todas, SSTC 96/2006, de 27 de marzo, FJ 6; y más recientemente 105/2009, de 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normas de competencia judicial internacional, vinculadas al derecho fundamental de acceso a la jurisdicción (art. 24.1 CE) y, por tanto, al principio de interpretación pro actione, este Tribunal ha dicho que las reglas ordenadoras de la competencia judicial internacional (esto es, de los supuestos en los que el ordenamiento de un Estado atribuye competencia para conocer de la resolución de un litigio a sus propios órganos jurisdiccionales, siempre dentro de los límites que el Derecho Internacional le impone, que configuran la noción de jurisdicción del Estado) responden todas ellas, en primer y fundamental lugar, a una doble y relativamente contrapuesta exigencia constitucional. De una parte, a nadie puede exigírsele una diligencia irrazonable o cargas excesivas para poder ejercitar su derecho de defensa en juicio; de modo que el demandado en el proceso civil sólo podrá ser sometido a una determinada jurisdicción si las circunstancias del caso permiten considerar que el ejercicio del derecho de defensa no se verá sometido a costes desproporcionados. De otra parte, desde el punto de vista procesalmente activo, es preciso asegurar una posibilidad razonable, según las circunstancias, de accionar ante la Justicia (STC 61/2000, 13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analizar la motivación controvertida conviene hacer una observación que afecta de forma concluyente a la argumentación con la que el recurrente sostiene la queja que trae en amparo. El recurrente parte de la premisa de que la menor fue trasladada ilícitamente. Para tales casos, de conformidad con el art. 10 del Reglamento 2201/2003, en materia de responsabilidad parental son competentes los órganos jurisdiccionales del Estado miembro en el que residía habitualmente el menor inmediatamente antes del traslado, frente a la competencia general prevista en el art. 8 del Reglamento, que determina la competencia de los órganos jurisdiccionales del Estado de residencia habitual del menor en los supuestos en que no subyace una sustracción internacional. Pues bien, en un procedimiento anterior al que es objeto de este amparo, los Tribunales españoles establecieron que el traslado de la menor fue lícito. Hay que poner de relieve que, ante aquella resolución judicial, el recurrente se aquietó y la resolución devino firme sin haber sido recurrida. Concluido el procedimiento en el que se declaró lícito el traslado, la fundamentación de cualquier resolución judicial posterior de los tribunales españoles, en lo que ahora interesa, en relación con la cuestión de la competencia judicial internacional, no puede soslayar la situación declarada en el procedimiento previo so riesgo de incurrir en vulneración del derecho fundamental a la intangibilidad de las resoluciones judiciales firmes (art. 24.1 CE) pues el órgano judicial, como este Tribunal ha dicho, no puede desconocer lo resuelto por Sentencia firme en el marco de procesos que examinan cuestiones que guardan con aquélla una relación de estricta dependencia (SSTC 219/2000, de 18 de septiembre, FJ 5; 151/2001, de 2 de julio, FJ 3; 231/2006, de 17 de julio, FJ 2, y 208/2009, de 26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en el análisis de la motivación de la Sentencia de la Audiencia Provincial, como ha quedado expuesto en los antecedentes, la Audiencia tras afirmar que el propio Tribunal belga no cuestiona la validez del procedimiento en curso en España, argumenta lo siguiente: “al no pronunciarse los tribunales belgas sobre el derecho de visita del Sr. [G.] con su hija [L.], de aceptarse la pretensión de declarar la nulidad de la Sentencia de instancia, nos encontraríamos con que ningún tribunal, ni español, ni belga, regularía dicho régimen de visitas con lo que se conculcarían al mismo tiempo tanto el derecho del padre a mantener relaciones con su hija menor, como los de ésta a crecer conociendo y conviviendo con su padre, a pesar de los problemas que se plantean con la distancia geográfica en que se encuentran el uno del otro”. Y, al tener que decidir sobre el régimen de visitas, sigue la Sentencia, “debe también decidir, con anterioridad, sobre la guarda y custodia”.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Trasladada la doctrina constitucional al caso de autos, y en lo que resulta del control externo que corresponde a este Tribunal, no se aprecia la vulneración del derecho fundamental que se denuncia por cuanto la Sentencia de la Audiencia Provincial contiene los elementos y razones de juicio que permiten conocer cuáles han sido los criterios jurídicos que fundamentan la decisión y una fundamentación en Derecho, sin que se aprecie vicio de arbitrariedad, motivación irrazonable o error patente. La Sentencia fundamenta la competencia del tribunal español en la necesidad, lo que conecta con el concepto de foro de necesidad, conocido en Derecho, que vincula con el derecho fundamental de acceso a la jurisdicción (art. 24.1 CE) y con los derechos de la menor y del padre. El criterio de necesidad sustenta la competencia al objeto de garantizar el acceso a la jurisdicción de la pretensión procesal de establecimiento de un régimen de relaciones paternofiliales, evitando un resultado constitucionalmente inadmisible, esto es, que dicha pretensión quede sin una resolución sobre el fondo; lo cual es un hecho cierto en lo atinente al derecho de visitas, sin que su extensión a la guarda y custodia pueda considerarse irrazonable cuando garantiza que el régimen de relaciones paternofiliales que se adopte sea completo, sin hacerlo depender de la suerte que pueda seguir la eficacia en España de la Sentencia belga.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constata que la invocación de la necesidad en el caso responde a las exigencias constitucionales del sistema de competencia judicial internacional, en cuanto asegura una posibilidad razonable de accionar ante la Justicia, sin exigir una diligencia irrazonable o una carga excesiva que llevaría a su rechazo por exorbitante. A mayor abundamiento, hay que subrayar que, a diferencia de lo que en principio presupone el foro de necesidad, en el caso de autos la invocación de la necesidad como criterio de competencia no viene acompañada por la previa constatación de inexistencia de otro foro que atribuya competencia judicial internacional a los tribunales españoles, sobre cuya concurrencia la Audiencia Provincial no se pronuncia. En este sentido, la cuestión se reduce al acierto en la selección, interpretación y aplicación del foro de competencia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Abunda en favor de la adecuación constitucional de la motivación y fundamentación en Derecho controvertida un análisis de la misma en términos de razonabilidad de los resultados desde la perspectiva del interés superior del menor, principio que, como ha recordado este Tribunal, con carácter general proclama la Convención de las Naciones Unidas sobre los derechos del niño de 20 de noviembre de 1989, al disponer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(art. 3.1). Y que nuestra legislación en materia de menores define como rector e inspirador de todas las actuaciones de los poderes públicos relacionadas con el niño, tanto administrativas como judiciales (SSTC 124/2002, de 20 de mayo, FJ 4, y 47/2009, de febrero, FJ, 3 entre otras). Pues bien, el caso de autos ha desembocado en una situación patológica, escapada de todas las prevenciones legales, en perjuicio de la menor cuyo interés demanda un régimen de relaciones paternofiliales estable, lo que implica que sea eficaz tanto en España como en Bélgica, como marco imprescindible para el desarrollo de los derechos de la menor y de los padres y como medida mínima para prevenir el riesgo de sustracción internacional. En orden a procurar este objetivo es significativo que la resolución de la Audiencia sobre la guarda y custodia incorpore materialmente la motivación de la Sentencia de apelación belga, haciéndola nuestra. Con la misma lógica, al fundamentar la competencia del Tribunal español en la necesidad la Sentencia exterioriza un criterio jurídico ajeno a la cuestión que está en el origen de la incompatibilidad de resoluciones judiciales, esto es, la consideración del traslado de la menor como lícito o ilícito, y los foros de competencia deudores de ese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razonabilidad del resultado se aprecia no sólo desde la óptica del interés superior del menor sino de los derechos del padre ahora recurrente (expresamente en la motivación de la Sentencia “el derecho de padre a mantener relaciones con su hija menor”) pues la situación claudicante también condicionaba severamente sus derechos. De esta suerte, la resolución judicial controvertida, en los términos en que se fundamenta, coadyuva a la garantía y ejercicio de los derechos del recurrente y entronca con el art. 39 CE y con el derecho al respeto a la vida privada y familiar previsto en el art. 8 del Convenio europeo para la protección de los derechos humanos y de las libertades fundamentales. Además, no puede ignorarse que, en cuanto al fondo, el Tribunal español reproduce la motivación y reitera el fallo de la decisión belga sobre la guarda y custodia y acoge íntegramente el régimen de visitas solicitado por el recurrente, de lo que resulta que ha obtenido la solución más favorable posible, a la luz del interés del menor en la actualidad, siendo legal y constitucionalmente inviable, como parece reclamarse, una motivación y fundamentación en Derecho de la competencia judicial internacional en materia de relaciones paternofiliales ajena a este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 expuesto pone de manifiesto que, a diferencia del recurso de amparo que requirió el planteamiento de cuestión prejudicial por ATC 86/2011, de 9 de junio, en el presente recurso este Tribunal no se ha enfrentado a un problema cuya solución haya dependido, en medida alguna, de la interpretación y validez de una norma de Derecho comunitario. Antes al contrario, la duda interpretativa que pretendía suscitar el recurrente es una cuestión de legalidad ordinaria, ajena al ámbito de este proceso constitucional y, por tanto, por definición, innecesaria para poder emitir el fallo, lo cual es condición primera de aplicación del art. 267 del Tratado de funcionamiento de la Unión Europea. Habida cuenta de lo cual, procede desestimar de plano el planteamiento de cuestión prejudicial ante el Tribunal de Justicia de la Unión Europea en los términos propuestos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M. G.</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