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2010, el Procurador de los Tribunales don Ramón María Querol Aragón, en nombre y representación de don Ionel Panait, y bajo la dirección del Letrado don Javier Martínez Ruiz, formalizó recurso de amparo contra la Sentencia de la Sala de lo Penal del Tribunal Supremo de 28 de junio de 2010, recaída en el recurso de casación núm. 10661-2009, interpuesto contra la dictada el 9 de marzo de 2009 por la Sección Primera de la Audiencia Provincial de Burgos en el rollo de sala núm. 106-2007, que había condenado al actor como autor responsable en grado de consumación de un delito de asociación ilícita a la pena de dos años de prisión y multa de dieciocho meses con una cuota diaria de seis euros, con privación de libertad de un día por cada dos cuotas de multa que resultasen impagadas; de un delito continuado de receptación a la pena de un año de prisión; de un delito de robo con fuerza en las cosas a la pena de un año y seis meses de prisión; de un delito de robo con violencia en las personas, a la pena de tres años de prisión; y de un delito de homicidio a la pena de doce años de prisión; en todos los casos con pena de inhabilitación especial para el ejercicio del derecho de sufragio pasivo durante el tiempo de la condena. El Tribunal Supremo estimó parcialmente el recurso interpuesto y absolvió al demandante de los delitos de asociación ilícita y de receptación.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5 de abril de 2013 la representación procesal del actor solicitó la suspensión de la pena de prisión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6 de mayo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escrito registrado el 14 de mayo de 2013, presentó alegaciones reiterando su solicitud de suspensión de la pena de prisión en consideración a que la única prueba incriminatoria contra él fue una prueba de ADN obtenida de forma ilegal, por lo que sostiene que está cumpliendo una condena que nunca debiera haber soportado y cuyos efectos se perpetúan durante la tramitación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20 de mayo de 2013, presentó alegaciones en las que, con cita de la doctrina de este Tribunal sobre el particular, interesó que se denegara la suspensión solicitada dado el tiempo total de duración de las penas de prisión impuestas al demandante, la lejanía del tiempo de cumplimiento definitivo y la especial gravedad de los delitos objeto de condena, uno de ellos constitutivo del delito de homicidio, sin que la genérica solicitud de suspensión permita apreciar que concurran en este caso circunstancias excepcionales que justifiquen su concesión. Añade que aunque el recurrente sólo ha interesado la suspensión de la pena de prisión tampoco cabría la del resto de los pronunciamientos de las Sentencias impugnadas por su carácter accesorio.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pieza cautelar consiste en determinar si procede la suspensión de la ejecución de la sentencia recurrida, y para su examen debe tenerse en cuenta que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mantenida por este Tribunal subraya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12/2009, de 26 de enero, 1/2010, de 11 de enero,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en relación con la suspensión de las penas privativas de libertad, este Tribunal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considerando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 Este criterio es reiterado en el ATC 185/2012, de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conduce, como solicita el Ministerio Fiscal, a denegar la suspensión interesada en atención a la duración de la pena privativa de libertad impuesta —superior a los dieciséis años de prisión— y a la especial gravedad derivada de la naturaleza de los hechos delictivos y del bien jurídico protegido —entre otros, delito de homicidio—, sin que el tiempo que resta por cumplir, vista la fecha desde la que el demandante se encuentra en prisión provisional según las Sentencias impugnadas (17 de noviembre de 2006), permita conectar la suspensión solicitada con el criterio genérico de la pérdida de eficacia del amparo teniendo en consideración que el plazo de condena pendiente de cumplimiento supera el período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aun cuando el escrito de 5 de abril de 2013 concreta la petición suspensiva a la ejecución de la pena de prisión, es indudable que tampoco cabría la suspensión del resto de los pronunciamientos al seguir las penas accesorias la misma suerte que la principal (AATC 131/2001, de 22 de mayo, FJ 2; 408/2005, de 21 de noviembre, FJ 2; y 80/2006, de 13 de marzo, FJ 2, entre otros), y por ser susceptibles de reparación los de contenido patrimonial (AATC 101/2012, de 21 de mayo, FJ 2; 126/2010, de 4 de octubre, FJ 2; y 59/2008, de 20 de febrero, FJ 2,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6811-2010.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